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R4-21181</w:t>
      </w:r>
      <w:r>
        <w:rPr>
          <w:rFonts w:hint="eastAsia" w:cs="Arial"/>
          <w:b/>
          <w:color w:val="auto"/>
          <w:sz w:val="24"/>
          <w:szCs w:val="24"/>
          <w:highlight w:val="none"/>
          <w:lang w:val="en-US" w:eastAsia="zh-CN"/>
        </w:rPr>
        <w:t>84</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ascii="Arial" w:hAnsi="Arial" w:cs="Arial"/>
          <w:b w:val="0"/>
          <w:bCs/>
          <w:color w:val="auto"/>
          <w:sz w:val="20"/>
          <w:szCs w:val="20"/>
          <w:lang w:val="en-US" w:eastAsia="zh-CN"/>
        </w:rPr>
        <w:t>Further d</w:t>
      </w:r>
      <w:r>
        <w:rPr>
          <w:rFonts w:hint="default" w:ascii="Arial" w:hAnsi="Arial" w:cs="Arial"/>
          <w:b w:val="0"/>
          <w:bCs/>
          <w:color w:val="auto"/>
          <w:sz w:val="20"/>
          <w:szCs w:val="20"/>
          <w:lang w:val="en-US" w:eastAsia="zh-CN"/>
        </w:rPr>
        <w:t xml:space="preserve">iscussion on </w:t>
      </w:r>
      <w:r>
        <w:rPr>
          <w:rFonts w:hint="eastAsia" w:cs="Arial"/>
          <w:b w:val="0"/>
          <w:bCs/>
          <w:color w:val="auto"/>
          <w:sz w:val="20"/>
          <w:szCs w:val="20"/>
          <w:lang w:val="en-US" w:eastAsia="zh-CN"/>
        </w:rPr>
        <w:t xml:space="preserve">FR1 </w:t>
      </w:r>
      <w:r>
        <w:rPr>
          <w:rFonts w:hint="default" w:ascii="Arial" w:hAnsi="Arial" w:cs="Arial"/>
          <w:b w:val="0"/>
          <w:bCs/>
          <w:color w:val="auto"/>
          <w:sz w:val="20"/>
          <w:szCs w:val="20"/>
          <w:lang w:val="en-US" w:eastAsia="zh-CN"/>
        </w:rPr>
        <w:t>Red</w:t>
      </w:r>
      <w:r>
        <w:rPr>
          <w:rFonts w:hint="eastAsia" w:cs="Arial"/>
          <w:b w:val="0"/>
          <w:bCs/>
          <w:color w:val="auto"/>
          <w:sz w:val="20"/>
          <w:szCs w:val="20"/>
          <w:lang w:val="en-US" w:eastAsia="zh-CN"/>
        </w:rPr>
        <w:t>C</w:t>
      </w:r>
      <w:r>
        <w:rPr>
          <w:rFonts w:hint="default" w:ascii="Arial" w:hAnsi="Arial" w:cs="Arial"/>
          <w:b w:val="0"/>
          <w:bCs/>
          <w:color w:val="auto"/>
          <w:sz w:val="20"/>
          <w:szCs w:val="20"/>
          <w:lang w:val="en-US" w:eastAsia="zh-CN"/>
        </w:rPr>
        <w:t xml:space="preserve">ap UE </w:t>
      </w:r>
      <w:r>
        <w:rPr>
          <w:rFonts w:hint="eastAsia" w:cs="Arial"/>
          <w:b w:val="0"/>
          <w:bCs/>
          <w:color w:val="auto"/>
          <w:sz w:val="20"/>
          <w:szCs w:val="20"/>
          <w:lang w:val="en-US" w:eastAsia="zh-CN"/>
        </w:rPr>
        <w:t xml:space="preserve">REFSEN </w:t>
      </w:r>
      <w:r>
        <w:rPr>
          <w:rFonts w:hint="default" w:ascii="Arial" w:hAnsi="Arial" w:cs="Arial"/>
          <w:b w:val="0"/>
          <w:bCs/>
          <w:color w:val="auto"/>
          <w:sz w:val="20"/>
          <w:szCs w:val="20"/>
          <w:lang w:val="en-US" w:eastAsia="zh-CN"/>
        </w:rPr>
        <w:t>req</w:t>
      </w:r>
      <w:r>
        <w:rPr>
          <w:rFonts w:hint="eastAsia" w:cs="Arial"/>
          <w:b w:val="0"/>
          <w:bCs/>
          <w:color w:val="auto"/>
          <w:sz w:val="20"/>
          <w:szCs w:val="20"/>
          <w:lang w:val="en-US" w:eastAsia="zh-CN"/>
        </w:rPr>
        <w:t>u</w:t>
      </w:r>
      <w:r>
        <w:rPr>
          <w:rFonts w:hint="default" w:ascii="Arial" w:hAnsi="Arial" w:cs="Arial"/>
          <w:b w:val="0"/>
          <w:bCs/>
          <w:color w:val="auto"/>
          <w:sz w:val="20"/>
          <w:szCs w:val="20"/>
          <w:lang w:val="en-US" w:eastAsia="zh-CN"/>
        </w:rPr>
        <w:t>irements</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8.20.2.1.2</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z w:val="20"/>
          <w:szCs w:val="20"/>
          <w:lang w:val="en-US" w:eastAsia="zh-CN" w:bidi="ar-SA"/>
        </w:rPr>
      </w:pPr>
      <w:r>
        <w:rPr>
          <w:rFonts w:hint="eastAsia" w:ascii="Times New Roman" w:hAnsi="Times New Roman" w:eastAsia="宋体" w:cs="Times New Roman"/>
          <w:bCs/>
          <w:i w:val="0"/>
          <w:iCs/>
          <w:sz w:val="20"/>
          <w:szCs w:val="20"/>
          <w:lang w:val="en-US" w:eastAsia="zh-CN" w:bidi="ar-SA"/>
        </w:rPr>
        <w:t>F</w:t>
      </w:r>
      <w:r>
        <w:rPr>
          <w:rFonts w:hint="default" w:ascii="Times New Roman" w:hAnsi="Times New Roman" w:eastAsia="宋体" w:cs="Times New Roman"/>
          <w:bCs/>
          <w:i w:val="0"/>
          <w:iCs/>
          <w:sz w:val="20"/>
          <w:szCs w:val="20"/>
          <w:lang w:val="en-US" w:eastAsia="zh-CN" w:bidi="ar-SA"/>
        </w:rPr>
        <w:t>or FR1 RedCap UE REFSENS requirements, FD-FDD/TDD and HD-FDD associated with 1Rx and 2Rx for all FR1 bands need to be considered, which are:</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z w:val="20"/>
          <w:szCs w:val="20"/>
          <w:lang w:val="en-US" w:eastAsia="zh-CN" w:bidi="ar-SA"/>
        </w:rPr>
        <w:t>Single 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z w:val="20"/>
          <w:szCs w:val="20"/>
          <w:lang w:val="en-US" w:eastAsia="zh-CN" w:bidi="ar-SA"/>
        </w:rPr>
        <w:t>Single Rx</w:t>
      </w:r>
      <w:r>
        <w:rPr>
          <w:rFonts w:hint="eastAsia" w:eastAsia="宋体" w:cs="Times New Roman"/>
          <w:bCs/>
          <w:i w:val="0"/>
          <w:iCs/>
          <w:sz w:val="20"/>
          <w:szCs w:val="20"/>
          <w:lang w:val="en-US" w:eastAsia="zh-CN" w:bidi="ar-SA"/>
        </w:rPr>
        <w:t xml:space="preserve"> </w:t>
      </w:r>
      <w:r>
        <w:rPr>
          <w:rFonts w:hint="default" w:ascii="Times New Roman" w:hAnsi="Times New Roman" w:eastAsia="宋体" w:cs="Times New Roman"/>
          <w:bCs/>
          <w:i w:val="0"/>
          <w:iCs/>
          <w:sz w:val="20"/>
          <w:szCs w:val="20"/>
          <w:lang w:val="en-US" w:eastAsia="zh-CN" w:bidi="ar-SA"/>
        </w:rPr>
        <w:t>HD-FDD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trike w:val="0"/>
          <w:dstrike w:val="0"/>
          <w:sz w:val="20"/>
          <w:szCs w:val="20"/>
          <w:lang w:val="en-US" w:eastAsia="zh-CN" w:bidi="ar-SA"/>
        </w:rPr>
      </w:pPr>
      <w:r>
        <w:rPr>
          <w:rFonts w:hint="default" w:ascii="Times New Roman" w:hAnsi="Times New Roman" w:eastAsia="宋体" w:cs="Times New Roman"/>
          <w:bCs/>
          <w:i w:val="0"/>
          <w:iCs/>
          <w:strike w:val="0"/>
          <w:dstrike w:val="0"/>
          <w:sz w:val="20"/>
          <w:szCs w:val="20"/>
          <w:lang w:val="en-US" w:eastAsia="zh-CN" w:bidi="ar-SA"/>
        </w:rPr>
        <w:t>2Rx FD-FDD/TDD REFSENS</w:t>
      </w:r>
    </w:p>
    <w:p>
      <w:pPr>
        <w:keepNext/>
        <w:keepLines/>
        <w:pageBreakBefore w:val="0"/>
        <w:widowControl/>
        <w:numPr>
          <w:ilvl w:val="0"/>
          <w:numId w:val="14"/>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sz w:val="20"/>
          <w:szCs w:val="20"/>
          <w:lang w:val="en-US" w:eastAsia="zh-CN" w:bidi="ar-SA"/>
        </w:rPr>
      </w:pPr>
      <w:r>
        <w:rPr>
          <w:rFonts w:hint="default" w:ascii="Times New Roman" w:hAnsi="Times New Roman" w:eastAsia="宋体" w:cs="Times New Roman"/>
          <w:bCs/>
          <w:i w:val="0"/>
          <w:iCs/>
          <w:strike w:val="0"/>
          <w:dstrike w:val="0"/>
          <w:sz w:val="20"/>
          <w:szCs w:val="20"/>
          <w:lang w:val="en-US" w:eastAsia="zh-CN" w:bidi="ar-SA"/>
        </w:rPr>
        <w:t>2Rx</w:t>
      </w:r>
      <w:r>
        <w:rPr>
          <w:rFonts w:hint="eastAsia" w:eastAsia="宋体" w:cs="Times New Roman"/>
          <w:bCs/>
          <w:i w:val="0"/>
          <w:iCs/>
          <w:strike w:val="0"/>
          <w:dstrike w:val="0"/>
          <w:sz w:val="20"/>
          <w:szCs w:val="20"/>
          <w:lang w:val="en-US" w:eastAsia="zh-CN" w:bidi="ar-SA"/>
        </w:rPr>
        <w:t xml:space="preserve"> </w:t>
      </w:r>
      <w:r>
        <w:rPr>
          <w:rFonts w:hint="default" w:ascii="Times New Roman" w:hAnsi="Times New Roman" w:eastAsia="宋体" w:cs="Times New Roman"/>
          <w:bCs/>
          <w:i w:val="0"/>
          <w:iCs/>
          <w:strike w:val="0"/>
          <w:dstrike w:val="0"/>
          <w:sz w:val="20"/>
          <w:szCs w:val="20"/>
          <w:lang w:val="en-US" w:eastAsia="zh-CN" w:bidi="ar-SA"/>
        </w:rPr>
        <w:t xml:space="preserve">HD-FDD REFSENS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ind w:leftChars="0"/>
        <w:textAlignment w:val="baseline"/>
        <w:outlineLvl w:val="9"/>
        <w:rPr>
          <w:rFonts w:hint="default" w:ascii="Times New Roman" w:hAnsi="Times New Roman" w:eastAsia="宋体" w:cs="Times New Roman"/>
          <w:bCs/>
          <w:i w:val="0"/>
          <w:iCs/>
          <w:sz w:val="20"/>
          <w:szCs w:val="20"/>
          <w:lang w:val="en-US" w:eastAsia="zh-CN" w:bidi="ar-SA"/>
        </w:rPr>
      </w:pPr>
      <w:r>
        <w:rPr>
          <w:rFonts w:hint="default" w:ascii="Times New Roman" w:hAnsi="Times New Roman" w:cs="Times New Roman"/>
          <w:b w:val="0"/>
          <w:bCs/>
          <w:color w:val="auto"/>
          <w:sz w:val="20"/>
          <w:szCs w:val="20"/>
          <w:lang w:val="en-US" w:eastAsia="zh-CN"/>
        </w:rPr>
        <w:t xml:space="preserve">For </w:t>
      </w:r>
      <w:r>
        <w:rPr>
          <w:rFonts w:hint="default" w:ascii="Times New Roman" w:hAnsi="Times New Roman" w:eastAsia="宋体" w:cs="Times New Roman"/>
          <w:bCs/>
          <w:i w:val="0"/>
          <w:iCs/>
          <w:sz w:val="20"/>
          <w:szCs w:val="20"/>
          <w:lang w:val="en-US" w:eastAsia="zh-CN" w:bidi="ar-SA"/>
        </w:rPr>
        <w:t xml:space="preserve">2 Rx branches </w:t>
      </w:r>
      <w:r>
        <w:rPr>
          <w:rFonts w:hint="default" w:ascii="Times New Roman" w:hAnsi="Times New Roman" w:eastAsia="宋体" w:cs="Times New Roman"/>
          <w:bCs/>
          <w:i w:val="0"/>
          <w:iCs/>
          <w:strike w:val="0"/>
          <w:dstrike w:val="0"/>
          <w:sz w:val="20"/>
          <w:szCs w:val="20"/>
          <w:lang w:val="en-US" w:eastAsia="zh-CN" w:bidi="ar-SA"/>
        </w:rPr>
        <w:t>FD-FDD/TDD REFSENS (i.e. bullet 3)</w:t>
      </w:r>
      <w:r>
        <w:rPr>
          <w:rFonts w:hint="default" w:ascii="Times New Roman" w:hAnsi="Times New Roman" w:cs="Times New Roman"/>
          <w:b w:val="0"/>
          <w:bCs/>
          <w:color w:val="auto"/>
          <w:sz w:val="20"/>
          <w:szCs w:val="20"/>
          <w:lang w:val="en-US" w:eastAsia="zh-CN"/>
        </w:rPr>
        <w:t xml:space="preserve">, </w:t>
      </w:r>
      <w:r>
        <w:rPr>
          <w:rFonts w:hint="default" w:ascii="Times New Roman" w:hAnsi="Times New Roman" w:eastAsia="宋体" w:cs="Times New Roman"/>
          <w:bCs/>
          <w:i w:val="0"/>
          <w:iCs/>
          <w:sz w:val="20"/>
          <w:szCs w:val="20"/>
          <w:lang w:val="en-US" w:eastAsia="zh-CN" w:bidi="ar-SA"/>
        </w:rPr>
        <w:t xml:space="preserve">it was already agreed that re-use existing single carrier </w:t>
      </w:r>
      <w:r>
        <w:rPr>
          <w:rFonts w:hint="default" w:ascii="Times New Roman" w:hAnsi="Times New Roman" w:eastAsia="宋体" w:cs="Times New Roman"/>
          <w:bCs/>
          <w:i w:val="0"/>
          <w:iCs/>
          <w:strike w:val="0"/>
          <w:dstrike w:val="0"/>
          <w:sz w:val="20"/>
          <w:szCs w:val="20"/>
          <w:lang w:val="en-US" w:eastAsia="zh-CN" w:bidi="ar-SA"/>
        </w:rPr>
        <w:t xml:space="preserve">REFSENS </w:t>
      </w:r>
      <w:r>
        <w:rPr>
          <w:rFonts w:hint="default" w:ascii="Times New Roman" w:hAnsi="Times New Roman" w:eastAsia="宋体" w:cs="Times New Roman"/>
          <w:bCs/>
          <w:i w:val="0"/>
          <w:iCs/>
          <w:sz w:val="20"/>
          <w:szCs w:val="20"/>
          <w:lang w:val="en-US" w:eastAsia="zh-CN" w:bidi="ar-SA"/>
        </w:rPr>
        <w:t>requirement</w:t>
      </w:r>
      <w:r>
        <w:rPr>
          <w:rFonts w:hint="default" w:ascii="Times New Roman" w:hAnsi="Times New Roman" w:eastAsia="宋体" w:cs="Times New Roman"/>
          <w:bCs/>
          <w:i w:val="0"/>
          <w:iCs/>
          <w:strike w:val="0"/>
          <w:dstrike w:val="0"/>
          <w:sz w:val="20"/>
          <w:szCs w:val="20"/>
          <w:lang w:val="en-US" w:eastAsia="zh-CN" w:bidi="ar-SA"/>
        </w:rPr>
        <w:t xml:space="preserve">, but </w:t>
      </w:r>
      <w:r>
        <w:rPr>
          <w:rFonts w:hint="default" w:ascii="Times New Roman" w:hAnsi="Times New Roman" w:eastAsia="宋体" w:cs="Times New Roman"/>
          <w:bCs/>
          <w:i w:val="0"/>
          <w:iCs/>
          <w:sz w:val="20"/>
          <w:szCs w:val="20"/>
          <w:lang w:val="en-US" w:eastAsia="zh-CN" w:bidi="ar-SA"/>
        </w:rPr>
        <w:t xml:space="preserve">FFS on HD-FDD mode </w:t>
      </w:r>
      <w:r>
        <w:rPr>
          <w:rFonts w:hint="default" w:ascii="Times New Roman" w:hAnsi="Times New Roman" w:eastAsia="宋体" w:cs="Times New Roman"/>
          <w:bCs/>
          <w:i w:val="0"/>
          <w:iCs/>
          <w:strike w:val="0"/>
          <w:dstrike w:val="0"/>
          <w:sz w:val="20"/>
          <w:szCs w:val="20"/>
          <w:lang w:val="en-US" w:eastAsia="zh-CN" w:bidi="ar-SA"/>
        </w:rPr>
        <w:t>(i.e. bullet 4)</w:t>
      </w:r>
      <w:r>
        <w:rPr>
          <w:rFonts w:hint="default" w:ascii="Times New Roman" w:hAnsi="Times New Roman" w:eastAsia="宋体" w:cs="Times New Roman"/>
          <w:bCs/>
          <w:i w:val="0"/>
          <w:iCs/>
          <w:sz w:val="20"/>
          <w:szCs w:val="20"/>
          <w:lang w:val="en-US" w:eastAsia="zh-CN" w:bidi="ar-SA"/>
        </w:rPr>
        <w:t>.</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eastAsia" w:eastAsia="宋体" w:cs="Times New Roman"/>
          <w:bCs/>
          <w:i w:val="0"/>
          <w:iCs/>
          <w:strike w:val="0"/>
          <w:dstrike w:val="0"/>
          <w:sz w:val="20"/>
          <w:szCs w:val="20"/>
          <w:lang w:val="en-US" w:eastAsia="zh-CN" w:bidi="ar-SA"/>
        </w:rPr>
      </w:pPr>
      <w:r>
        <w:rPr>
          <w:rFonts w:hint="eastAsia" w:cs="Times New Roman"/>
          <w:b w:val="0"/>
          <w:bCs/>
          <w:color w:val="auto"/>
          <w:sz w:val="20"/>
          <w:szCs w:val="20"/>
          <w:lang w:val="en-US" w:eastAsia="zh-CN"/>
        </w:rPr>
        <w:t xml:space="preserve">For single Rx </w:t>
      </w:r>
      <w:r>
        <w:rPr>
          <w:rFonts w:hint="default" w:ascii="Times New Roman" w:hAnsi="Times New Roman" w:eastAsia="宋体" w:cs="Times New Roman"/>
          <w:bCs/>
          <w:i w:val="0"/>
          <w:iCs/>
          <w:sz w:val="20"/>
          <w:szCs w:val="20"/>
          <w:lang w:val="en-US" w:eastAsia="zh-CN" w:bidi="ar-SA"/>
        </w:rPr>
        <w:t xml:space="preserve">branches </w:t>
      </w:r>
      <w:r>
        <w:rPr>
          <w:rFonts w:hint="eastAsia" w:eastAsia="宋体" w:cs="Times New Roman"/>
          <w:bCs/>
          <w:i w:val="0"/>
          <w:iCs/>
          <w:sz w:val="20"/>
          <w:szCs w:val="20"/>
          <w:lang w:val="en-US" w:eastAsia="zh-CN" w:bidi="ar-SA"/>
        </w:rPr>
        <w:t xml:space="preserve">REFSEN </w:t>
      </w:r>
      <w:r>
        <w:rPr>
          <w:rFonts w:hint="default" w:ascii="Times New Roman" w:hAnsi="Times New Roman" w:eastAsia="宋体" w:cs="Times New Roman"/>
          <w:bCs/>
          <w:i w:val="0"/>
          <w:iCs/>
          <w:strike w:val="0"/>
          <w:dstrike w:val="0"/>
          <w:sz w:val="20"/>
          <w:szCs w:val="20"/>
          <w:lang w:val="en-US" w:eastAsia="zh-CN" w:bidi="ar-SA"/>
        </w:rPr>
        <w:t xml:space="preserve">(i.e. bullet </w:t>
      </w:r>
      <w:r>
        <w:rPr>
          <w:rFonts w:hint="eastAsia" w:eastAsia="宋体" w:cs="Times New Roman"/>
          <w:bCs/>
          <w:i w:val="0"/>
          <w:iCs/>
          <w:strike w:val="0"/>
          <w:dstrike w:val="0"/>
          <w:sz w:val="20"/>
          <w:szCs w:val="20"/>
          <w:lang w:val="en-US" w:eastAsia="zh-CN" w:bidi="ar-SA"/>
        </w:rPr>
        <w:t>1 and 2</w:t>
      </w:r>
      <w:r>
        <w:rPr>
          <w:rFonts w:hint="default" w:ascii="Times New Roman" w:hAnsi="Times New Roman" w:eastAsia="宋体" w:cs="Times New Roman"/>
          <w:bCs/>
          <w:i w:val="0"/>
          <w:iCs/>
          <w:strike w:val="0"/>
          <w:dstrike w:val="0"/>
          <w:sz w:val="20"/>
          <w:szCs w:val="20"/>
          <w:lang w:val="en-US" w:eastAsia="zh-CN" w:bidi="ar-SA"/>
        </w:rPr>
        <w:t>)</w:t>
      </w:r>
      <w:r>
        <w:rPr>
          <w:rFonts w:hint="eastAsia" w:eastAsia="宋体" w:cs="Times New Roman"/>
          <w:bCs/>
          <w:i w:val="0"/>
          <w:iCs/>
          <w:strike w:val="0"/>
          <w:dstrike w:val="0"/>
          <w:sz w:val="20"/>
          <w:szCs w:val="20"/>
          <w:lang w:val="en-US" w:eastAsia="zh-CN" w:bidi="ar-SA"/>
        </w:rPr>
        <w:t>, some discussions have already been done in [1~7], but no consensus were achieved. Some agreements were captured in [8], where:</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pageBreakBefore w:val="0"/>
              <w:widowControl/>
              <w:kinsoku/>
              <w:wordWrap/>
              <w:topLinePunct w:val="0"/>
              <w:bidi w:val="0"/>
              <w:snapToGrid/>
              <w:spacing w:after="0"/>
              <w:rPr>
                <w:rFonts w:ascii="Times New Roman" w:hAnsi="Times New Roman" w:eastAsia="宋体" w:cs="Times New Roman"/>
                <w:color w:val="0070C0"/>
                <w:sz w:val="20"/>
                <w:szCs w:val="20"/>
                <w:highlight w:val="green"/>
                <w:lang w:val="en-US"/>
              </w:rPr>
            </w:pPr>
            <w:r>
              <w:rPr>
                <w:rFonts w:ascii="Times New Roman" w:hAnsi="Times New Roman" w:eastAsia="宋体" w:cs="Times New Roman"/>
                <w:sz w:val="20"/>
                <w:szCs w:val="20"/>
                <w:highlight w:val="green"/>
                <w:lang w:val="en-US" w:eastAsia="zh-CN"/>
              </w:rPr>
              <w:t xml:space="preserve">Agreement: For REFSENS of 1Rx, </w:t>
            </w:r>
            <w:r>
              <w:rPr>
                <w:rFonts w:ascii="Times New Roman" w:hAnsi="Times New Roman" w:eastAsia="宋体" w:cs="Times New Roman"/>
                <w:sz w:val="20"/>
                <w:szCs w:val="20"/>
                <w:highlight w:val="green"/>
                <w:lang w:val="en-US"/>
              </w:rPr>
              <w:t>use the constant XdB gain relaxation based on 2Rx REFSENS</w:t>
            </w:r>
          </w:p>
          <w:p>
            <w:pPr>
              <w:keepNext/>
              <w:keepLines/>
              <w:pageBreakBefore w:val="0"/>
              <w:widowControl/>
              <w:numPr>
                <w:ilvl w:val="0"/>
                <w:numId w:val="15"/>
              </w:numPr>
              <w:kinsoku/>
              <w:wordWrap/>
              <w:overflowPunct w:val="0"/>
              <w:topLinePunct w:val="0"/>
              <w:autoSpaceDE w:val="0"/>
              <w:autoSpaceDN w:val="0"/>
              <w:bidi w:val="0"/>
              <w:adjustRightInd w:val="0"/>
              <w:snapToGrid/>
              <w:spacing w:after="180"/>
              <w:ind w:left="42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FFS for X dB</w:t>
            </w:r>
          </w:p>
          <w:p>
            <w:pPr>
              <w:keepNext/>
              <w:keepLines/>
              <w:pageBreakBefore w:val="0"/>
              <w:widowControl/>
              <w:numPr>
                <w:ilvl w:val="1"/>
                <w:numId w:val="15"/>
              </w:numPr>
              <w:kinsoku/>
              <w:wordWrap/>
              <w:overflowPunct w:val="0"/>
              <w:topLinePunct w:val="0"/>
              <w:autoSpaceDE w:val="0"/>
              <w:autoSpaceDN w:val="0"/>
              <w:bidi w:val="0"/>
              <w:adjustRightInd w:val="0"/>
              <w:snapToGrid/>
              <w:spacing w:after="180"/>
              <w:ind w:left="84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2.5dB for TDD</w:t>
            </w:r>
          </w:p>
          <w:p>
            <w:pPr>
              <w:keepNext/>
              <w:keepLines/>
              <w:pageBreakBefore w:val="0"/>
              <w:widowControl/>
              <w:numPr>
                <w:ilvl w:val="1"/>
                <w:numId w:val="15"/>
              </w:numPr>
              <w:kinsoku/>
              <w:wordWrap/>
              <w:overflowPunct w:val="0"/>
              <w:topLinePunct w:val="0"/>
              <w:autoSpaceDE w:val="0"/>
              <w:autoSpaceDN w:val="0"/>
              <w:bidi w:val="0"/>
              <w:adjustRightInd w:val="0"/>
              <w:snapToGrid/>
              <w:spacing w:after="180"/>
              <w:ind w:left="84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FFS for FDD</w:t>
            </w:r>
          </w:p>
          <w:p>
            <w:pPr>
              <w:keepNext/>
              <w:keepLines/>
              <w:pageBreakBefore w:val="0"/>
              <w:widowControl/>
              <w:numPr>
                <w:ilvl w:val="2"/>
                <w:numId w:val="15"/>
              </w:numPr>
              <w:kinsoku/>
              <w:wordWrap/>
              <w:overflowPunct w:val="0"/>
              <w:topLinePunct w:val="0"/>
              <w:autoSpaceDE w:val="0"/>
              <w:autoSpaceDN w:val="0"/>
              <w:bidi w:val="0"/>
              <w:adjustRightInd w:val="0"/>
              <w:snapToGrid/>
              <w:spacing w:after="180"/>
              <w:ind w:left="126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Option 1: 2.5dB</w:t>
            </w:r>
          </w:p>
          <w:p>
            <w:pPr>
              <w:keepNext/>
              <w:keepLines/>
              <w:pageBreakBefore w:val="0"/>
              <w:widowControl/>
              <w:numPr>
                <w:ilvl w:val="2"/>
                <w:numId w:val="15"/>
              </w:numPr>
              <w:kinsoku/>
              <w:wordWrap/>
              <w:overflowPunct w:val="0"/>
              <w:topLinePunct w:val="0"/>
              <w:autoSpaceDE w:val="0"/>
              <w:autoSpaceDN w:val="0"/>
              <w:bidi w:val="0"/>
              <w:adjustRightInd w:val="0"/>
              <w:snapToGrid/>
              <w:spacing w:after="180"/>
              <w:ind w:left="126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Option 2: 3dB</w:t>
            </w:r>
          </w:p>
          <w:p>
            <w:pPr>
              <w:keepNext/>
              <w:keepLines/>
              <w:pageBreakBefore w:val="0"/>
              <w:widowControl/>
              <w:kinsoku/>
              <w:wordWrap/>
              <w:topLinePunct w:val="0"/>
              <w:bidi w:val="0"/>
              <w:snapToGrid/>
              <w:spacing w:after="0"/>
              <w:rPr>
                <w:rFonts w:ascii="Times New Roman" w:hAnsi="Times New Roman" w:eastAsia="宋体" w:cs="Times New Roman"/>
                <w:sz w:val="20"/>
                <w:szCs w:val="20"/>
                <w:highlight w:val="green"/>
                <w:lang w:val="en-US" w:eastAsia="zh-CN"/>
              </w:rPr>
            </w:pPr>
            <w:r>
              <w:rPr>
                <w:rFonts w:ascii="Times New Roman" w:hAnsi="Times New Roman" w:eastAsia="宋体" w:cs="Times New Roman"/>
                <w:sz w:val="20"/>
                <w:szCs w:val="20"/>
                <w:highlight w:val="green"/>
                <w:lang w:val="en-US" w:eastAsia="zh-CN"/>
              </w:rPr>
              <w:t>Agreement: For RedCap requirements, focus on HD-FDD only mode</w:t>
            </w:r>
          </w:p>
          <w:p>
            <w:pPr>
              <w:keepNext/>
              <w:keepLines/>
              <w:pageBreakBefore w:val="0"/>
              <w:widowControl/>
              <w:numPr>
                <w:ilvl w:val="0"/>
                <w:numId w:val="16"/>
              </w:numPr>
              <w:kinsoku/>
              <w:wordWrap/>
              <w:overflowPunct w:val="0"/>
              <w:topLinePunct w:val="0"/>
              <w:autoSpaceDE w:val="0"/>
              <w:autoSpaceDN w:val="0"/>
              <w:bidi w:val="0"/>
              <w:adjustRightInd w:val="0"/>
              <w:snapToGrid/>
              <w:spacing w:after="180"/>
              <w:ind w:left="420" w:hanging="420"/>
              <w:contextualSpacing/>
              <w:textAlignment w:val="baseline"/>
              <w:rPr>
                <w:rFonts w:ascii="Times New Roman" w:hAnsi="Times New Roman" w:eastAsia="Times New Roman" w:cs="Times New Roman"/>
                <w:sz w:val="20"/>
                <w:szCs w:val="20"/>
                <w:highlight w:val="green"/>
                <w:lang w:val="en-US" w:eastAsia="zh-CN" w:bidi="ar-SA"/>
              </w:rPr>
            </w:pPr>
            <w:r>
              <w:rPr>
                <w:rFonts w:ascii="Times New Roman" w:hAnsi="Times New Roman" w:eastAsia="宋体" w:cs="Times New Roman"/>
                <w:sz w:val="20"/>
                <w:szCs w:val="20"/>
                <w:highlight w:val="green"/>
                <w:lang w:val="en-US" w:eastAsia="zh-CN" w:bidi="ar-SA"/>
              </w:rPr>
              <w:t>FFS on dual mode, i.e., supporting both FDD and HD-FDD.</w:t>
            </w:r>
          </w:p>
          <w:p>
            <w:pPr>
              <w:keepNext/>
              <w:keepLines/>
              <w:pageBreakBefore w:val="0"/>
              <w:widowControl/>
              <w:kinsoku/>
              <w:wordWrap/>
              <w:topLinePunct w:val="0"/>
              <w:bidi w:val="0"/>
              <w:snapToGrid/>
              <w:rPr>
                <w:sz w:val="20"/>
                <w:szCs w:val="20"/>
                <w:highlight w:val="green"/>
                <w:lang w:eastAsia="zh-CN"/>
              </w:rPr>
            </w:pPr>
            <w:r>
              <w:rPr>
                <w:rFonts w:ascii="Times New Roman" w:hAnsi="Times New Roman" w:eastAsia="宋体" w:cs="Times New Roman"/>
                <w:sz w:val="20"/>
                <w:szCs w:val="20"/>
                <w:highlight w:val="green"/>
                <w:lang w:val="en-US" w:eastAsia="zh-CN"/>
              </w:rPr>
              <w:t>Agreement:</w:t>
            </w:r>
            <w:r>
              <w:rPr>
                <w:sz w:val="20"/>
                <w:szCs w:val="20"/>
                <w:highlight w:val="green"/>
                <w:lang w:eastAsia="zh-CN"/>
              </w:rPr>
              <w:t>For Rx RedCap UE in HD-FDD mode, relaxation of Y dB of 2Rx NR FDD band REFSENS</w:t>
            </w:r>
          </w:p>
          <w:p>
            <w:pPr>
              <w:pStyle w:val="209"/>
              <w:keepNext/>
              <w:keepLines/>
              <w:pageBreakBefore w:val="0"/>
              <w:widowControl/>
              <w:numPr>
                <w:ilvl w:val="0"/>
                <w:numId w:val="16"/>
              </w:numPr>
              <w:kinsoku/>
              <w:wordWrap/>
              <w:topLinePunct w:val="0"/>
              <w:bidi w:val="0"/>
              <w:snapToGrid/>
              <w:rPr>
                <w:rFonts w:hint="default" w:eastAsia="宋体" w:cs="Times New Roman"/>
                <w:bCs/>
                <w:i w:val="0"/>
                <w:iCs/>
                <w:strike w:val="0"/>
                <w:dstrike w:val="0"/>
                <w:sz w:val="20"/>
                <w:szCs w:val="20"/>
                <w:vertAlign w:val="baseline"/>
                <w:lang w:val="en-US" w:eastAsia="zh-CN" w:bidi="ar-SA"/>
              </w:rPr>
            </w:pPr>
            <w:r>
              <w:rPr>
                <w:rFonts w:hint="default" w:ascii="Times New Roman" w:hAnsi="Times New Roman" w:eastAsia="宋体" w:cs="Times New Roman"/>
                <w:sz w:val="20"/>
                <w:szCs w:val="20"/>
                <w:highlight w:val="green"/>
                <w:lang w:eastAsia="zh-CN"/>
              </w:rPr>
              <w:t>Y value should be less than 2.5dB.</w:t>
            </w:r>
          </w:p>
        </w:tc>
      </w:tr>
    </w:tbl>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cs="Times New Roman"/>
          <w:b w:val="0"/>
          <w:bCs/>
          <w:color w:val="auto"/>
          <w:sz w:val="20"/>
          <w:szCs w:val="20"/>
          <w:lang w:val="en-US" w:eastAsia="zh-CN"/>
        </w:rPr>
        <w:t xml:space="preserve">In </w:t>
      </w:r>
      <w:r>
        <w:rPr>
          <w:rFonts w:hint="eastAsia" w:cs="Times New Roman"/>
          <w:b w:val="0"/>
          <w:bCs/>
          <w:color w:val="auto"/>
          <w:sz w:val="20"/>
          <w:szCs w:val="20"/>
          <w:lang w:val="en-US" w:eastAsia="zh-CN"/>
        </w:rPr>
        <w:t>this contribution, we provide some further discussions on FR1 RedCap UE requirements.</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eastAsia"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According to the above agreements, it can be seen that 2.5dB relaxation for </w:t>
      </w:r>
      <w:r>
        <w:rPr>
          <w:rFonts w:hint="eastAsia" w:eastAsia="宋体" w:cs="Times New Roman"/>
          <w:bCs/>
          <w:i w:val="0"/>
          <w:iCs/>
          <w:sz w:val="20"/>
          <w:szCs w:val="20"/>
          <w:lang w:val="en-US" w:eastAsia="zh-CN" w:bidi="ar-SA"/>
        </w:rPr>
        <w:t>s</w:t>
      </w:r>
      <w:r>
        <w:rPr>
          <w:rFonts w:hint="default" w:ascii="Times New Roman" w:hAnsi="Times New Roman" w:eastAsia="宋体" w:cs="Times New Roman"/>
          <w:bCs/>
          <w:i w:val="0"/>
          <w:iCs/>
          <w:sz w:val="20"/>
          <w:szCs w:val="20"/>
          <w:lang w:val="en-US" w:eastAsia="zh-CN" w:bidi="ar-SA"/>
        </w:rPr>
        <w:t xml:space="preserve">ingle Rx </w:t>
      </w:r>
      <w:r>
        <w:rPr>
          <w:rFonts w:hint="eastAsia" w:ascii="Times" w:hAnsi="Times" w:eastAsia="宋体" w:cs="Times"/>
          <w:bCs/>
          <w:i w:val="0"/>
          <w:iCs/>
          <w:sz w:val="20"/>
          <w:szCs w:val="20"/>
          <w:lang w:val="en-US" w:eastAsia="zh-CN" w:bidi="ar-SA"/>
        </w:rPr>
        <w:t xml:space="preserve">TDD band </w:t>
      </w:r>
      <w:r>
        <w:rPr>
          <w:rFonts w:hint="default" w:ascii="Times New Roman" w:hAnsi="Times New Roman" w:eastAsia="宋体" w:cs="Times New Roman"/>
          <w:bCs/>
          <w:i w:val="0"/>
          <w:iCs/>
          <w:strike w:val="0"/>
          <w:dstrike w:val="0"/>
          <w:sz w:val="20"/>
          <w:szCs w:val="20"/>
          <w:lang w:val="en-US" w:eastAsia="zh-CN" w:bidi="ar-SA"/>
        </w:rPr>
        <w:t xml:space="preserve">REFSENS </w:t>
      </w:r>
      <w:r>
        <w:rPr>
          <w:rFonts w:hint="eastAsia" w:eastAsia="宋体" w:cs="Times New Roman"/>
          <w:bCs/>
          <w:i w:val="0"/>
          <w:iCs/>
          <w:strike w:val="0"/>
          <w:dstrike w:val="0"/>
          <w:sz w:val="20"/>
          <w:szCs w:val="20"/>
          <w:lang w:val="en-US" w:eastAsia="zh-CN" w:bidi="ar-SA"/>
        </w:rPr>
        <w:t xml:space="preserve">requirements </w:t>
      </w:r>
      <w:r>
        <w:rPr>
          <w:rFonts w:hint="eastAsia" w:ascii="Times" w:hAnsi="Times" w:eastAsia="宋体" w:cs="Times"/>
          <w:bCs/>
          <w:i w:val="0"/>
          <w:iCs/>
          <w:sz w:val="20"/>
          <w:szCs w:val="20"/>
          <w:lang w:val="en-US" w:eastAsia="zh-CN" w:bidi="ar-SA"/>
        </w:rPr>
        <w:t>comparing with dual Rx.</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sz w:val="20"/>
          <w:szCs w:val="20"/>
          <w:highlight w:val="none"/>
          <w:lang w:val="en-US" w:eastAsia="zh-CN" w:bidi="ar-SA"/>
        </w:rPr>
      </w:pPr>
      <w:r>
        <w:rPr>
          <w:rFonts w:hint="eastAsia" w:ascii="Times" w:hAnsi="Times" w:eastAsia="宋体" w:cs="Times"/>
          <w:bCs/>
          <w:i w:val="0"/>
          <w:iCs/>
          <w:sz w:val="20"/>
          <w:szCs w:val="20"/>
          <w:lang w:val="en-US" w:eastAsia="zh-CN" w:bidi="ar-SA"/>
        </w:rPr>
        <w:t xml:space="preserve">For </w:t>
      </w:r>
      <w:r>
        <w:rPr>
          <w:rFonts w:hint="eastAsia" w:eastAsia="宋体" w:cs="Times New Roman"/>
          <w:bCs/>
          <w:i w:val="0"/>
          <w:iCs/>
          <w:sz w:val="20"/>
          <w:szCs w:val="20"/>
          <w:lang w:val="en-US" w:eastAsia="zh-CN" w:bidi="ar-SA"/>
        </w:rPr>
        <w:t>s</w:t>
      </w:r>
      <w:r>
        <w:rPr>
          <w:rFonts w:hint="default" w:ascii="Times New Roman" w:hAnsi="Times New Roman" w:eastAsia="宋体" w:cs="Times New Roman"/>
          <w:bCs/>
          <w:i w:val="0"/>
          <w:iCs/>
          <w:sz w:val="20"/>
          <w:szCs w:val="20"/>
          <w:lang w:val="en-US" w:eastAsia="zh-CN" w:bidi="ar-SA"/>
        </w:rPr>
        <w:t xml:space="preserve">ingle Rx </w:t>
      </w:r>
      <w:r>
        <w:rPr>
          <w:rFonts w:hint="eastAsia" w:ascii="Times" w:hAnsi="Times" w:eastAsia="宋体" w:cs="Times"/>
          <w:bCs/>
          <w:i w:val="0"/>
          <w:iCs/>
          <w:sz w:val="20"/>
          <w:szCs w:val="20"/>
          <w:lang w:val="en-US" w:eastAsia="zh-CN" w:bidi="ar-SA"/>
        </w:rPr>
        <w:t xml:space="preserve">FDD, the argument was mainly that whether or not </w:t>
      </w:r>
      <w:r>
        <w:rPr>
          <w:rFonts w:ascii="Times New Roman" w:hAnsi="Times New Roman" w:eastAsia="宋体" w:cs="Times New Roman"/>
          <w:sz w:val="20"/>
          <w:szCs w:val="20"/>
          <w:highlight w:val="none"/>
          <w:lang w:val="en-US" w:eastAsia="zh-CN" w:bidi="ar-SA"/>
        </w:rPr>
        <w:t>dual mode, i.e., supporting both FDD and HD-FDD</w:t>
      </w:r>
      <w:r>
        <w:rPr>
          <w:rFonts w:hint="eastAsia" w:eastAsia="宋体" w:cs="Times New Roman"/>
          <w:sz w:val="20"/>
          <w:szCs w:val="20"/>
          <w:highlight w:val="none"/>
          <w:lang w:val="en-US" w:eastAsia="zh-CN" w:bidi="ar-SA"/>
        </w:rPr>
        <w:t>, are supported. In terms of the the discussions in last meeting, the comments among companies are diverse, where in case of dual mode are supported, the duplxer needs to be kept to support both HD-FDD and FD-FDD, but if only HD-FDD is considered, then duplxer would be replaced with single-band filter. The differentiates of insert loss for these two cases would be seen, which would cause different REFSEN requirements defined.</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sz w:val="20"/>
          <w:szCs w:val="20"/>
          <w:highlight w:val="none"/>
          <w:lang w:val="en-US" w:eastAsia="zh-CN" w:bidi="ar-SA"/>
        </w:rPr>
      </w:pPr>
      <w:r>
        <w:rPr>
          <w:rFonts w:hint="eastAsia" w:eastAsia="宋体" w:cs="Times New Roman"/>
          <w:sz w:val="20"/>
          <w:szCs w:val="20"/>
          <w:highlight w:val="none"/>
          <w:lang w:val="en-US" w:eastAsia="zh-CN" w:bidi="ar-SA"/>
        </w:rPr>
        <w:t>In our understanding, so far the benefit is unclear to support dual mode, and it seems it would increase complexity/cost comparing with single mode FD or HD, and also it seems the current WID didn</w:t>
      </w:r>
      <w:r>
        <w:rPr>
          <w:rFonts w:hint="default" w:eastAsia="宋体" w:cs="Times New Roman"/>
          <w:sz w:val="20"/>
          <w:szCs w:val="20"/>
          <w:highlight w:val="none"/>
          <w:lang w:val="en-US" w:eastAsia="zh-CN" w:bidi="ar-SA"/>
        </w:rPr>
        <w:t>’</w:t>
      </w:r>
      <w:r>
        <w:rPr>
          <w:rFonts w:hint="eastAsia" w:eastAsia="宋体" w:cs="Times New Roman"/>
          <w:sz w:val="20"/>
          <w:szCs w:val="20"/>
          <w:highlight w:val="none"/>
          <w:lang w:val="en-US" w:eastAsia="zh-CN" w:bidi="ar-SA"/>
        </w:rPr>
        <w:t>t include the dual mode. Therefore we think it would be better to focus on HD-FDD only mode, as stated in the WF.</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sz w:val="20"/>
          <w:szCs w:val="20"/>
          <w:highlight w:val="none"/>
          <w:lang w:val="en-US" w:eastAsia="zh-CN" w:bidi="ar-SA"/>
        </w:rPr>
      </w:pPr>
      <w:r>
        <w:rPr>
          <w:rFonts w:hint="eastAsia" w:ascii="Times" w:hAnsi="Times" w:eastAsia="宋体" w:cs="Times"/>
          <w:bCs/>
          <w:i w:val="0"/>
          <w:iCs/>
          <w:sz w:val="20"/>
          <w:szCs w:val="20"/>
          <w:lang w:val="en-US" w:eastAsia="zh-CN" w:bidi="ar-SA"/>
        </w:rPr>
        <w:t xml:space="preserve">Considering HD-FDD RedCap UE will not have simultaneous UL and DL operations and the Tx/Rx duplexer </w:t>
      </w:r>
      <w:r>
        <w:rPr>
          <w:rFonts w:hint="eastAsia" w:ascii="Times" w:hAnsi="Times" w:eastAsia="宋体" w:cs="Times"/>
          <w:bCs/>
          <w:i w:val="0"/>
          <w:iCs/>
          <w:sz w:val="20"/>
          <w:szCs w:val="20"/>
          <w:lang w:val="en-US" w:eastAsia="ja-JP" w:bidi="ar-SA"/>
        </w:rPr>
        <w:t xml:space="preserve">in the </w:t>
      </w:r>
    </w:p>
    <w:p>
      <w:pPr>
        <w:keepNext/>
        <w:keepLines/>
        <w:pageBreakBefore w:val="0"/>
        <w:widowControl w:val="0"/>
        <w:numPr>
          <w:ilvl w:val="-1"/>
          <w:numId w:val="0"/>
        </w:numPr>
        <w:kinsoku/>
        <w:wordWrap/>
        <w:overflowPunct w:val="0"/>
        <w:topLinePunct w:val="0"/>
        <w:autoSpaceDE w:val="0"/>
        <w:autoSpaceDN w:val="0"/>
        <w:bidi w:val="0"/>
        <w:adjustRightInd w:val="0"/>
        <w:snapToGrid/>
        <w:spacing w:before="120" w:after="120"/>
        <w:jc w:val="left"/>
        <w:textAlignment w:val="baseline"/>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FD-</w:t>
      </w:r>
      <w:r>
        <w:rPr>
          <w:rFonts w:hint="eastAsia" w:ascii="Times" w:hAnsi="Times" w:eastAsia="宋体" w:cs="Times"/>
          <w:bCs/>
          <w:i w:val="0"/>
          <w:iCs/>
          <w:sz w:val="20"/>
          <w:szCs w:val="20"/>
          <w:lang w:val="en-US" w:eastAsia="ja-JP" w:bidi="ar-SA"/>
        </w:rPr>
        <w:t>FDD implementation</w:t>
      </w:r>
      <w:r>
        <w:rPr>
          <w:rFonts w:hint="eastAsia" w:ascii="Times" w:hAnsi="Times" w:eastAsia="宋体" w:cs="Times"/>
          <w:bCs/>
          <w:i w:val="0"/>
          <w:iCs/>
          <w:sz w:val="20"/>
          <w:szCs w:val="20"/>
          <w:lang w:val="en-US" w:eastAsia="zh-CN" w:bidi="ar-SA"/>
        </w:rPr>
        <w:t xml:space="preserve"> is replaced with </w:t>
      </w:r>
      <w:r>
        <w:rPr>
          <w:rFonts w:hint="eastAsia" w:ascii="Times" w:hAnsi="Times" w:eastAsia="宋体" w:cs="Times"/>
          <w:bCs/>
          <w:i w:val="0"/>
          <w:iCs/>
          <w:sz w:val="20"/>
          <w:szCs w:val="20"/>
          <w:lang w:val="en-US" w:eastAsia="ja-JP" w:bidi="ar-SA"/>
        </w:rPr>
        <w:t>a switch in the HD-FDD implementation</w:t>
      </w:r>
      <w:r>
        <w:rPr>
          <w:rFonts w:hint="eastAsia" w:ascii="Times" w:hAnsi="Times" w:eastAsia="宋体" w:cs="Times"/>
          <w:bCs/>
          <w:i w:val="0"/>
          <w:iCs/>
          <w:sz w:val="20"/>
          <w:szCs w:val="20"/>
          <w:lang w:val="en-US" w:eastAsia="zh-CN" w:bidi="ar-SA"/>
        </w:rPr>
        <w:t xml:space="preserve">. Therefore, it can be foreseen the REFSENS requirements will be different between </w:t>
      </w:r>
      <w:r>
        <w:rPr>
          <w:rFonts w:hint="eastAsia" w:ascii="Times" w:hAnsi="Times" w:eastAsia="宋体" w:cs="Times"/>
          <w:bCs/>
          <w:i w:val="0"/>
          <w:iCs/>
          <w:sz w:val="20"/>
          <w:szCs w:val="20"/>
          <w:lang w:val="en-US" w:eastAsia="ja-JP" w:bidi="ar-SA"/>
        </w:rPr>
        <w:t xml:space="preserve">FD-FDD and HD-FDD </w:t>
      </w:r>
      <w:r>
        <w:rPr>
          <w:rFonts w:hint="eastAsia" w:ascii="Times" w:hAnsi="Times" w:eastAsia="宋体" w:cs="Times"/>
          <w:bCs/>
          <w:i w:val="0"/>
          <w:iCs/>
          <w:sz w:val="20"/>
          <w:szCs w:val="20"/>
          <w:lang w:val="en-US" w:eastAsia="zh-CN" w:bidi="ar-SA"/>
        </w:rPr>
        <w:t>for a certain NR FDD band.</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w:hAnsi="Times" w:eastAsia="宋体" w:cs="Times"/>
          <w:bCs/>
          <w:i w:val="0"/>
          <w:iCs/>
          <w:sz w:val="20"/>
          <w:szCs w:val="20"/>
          <w:lang w:val="en-US" w:eastAsia="zh-CN" w:bidi="ar-SA"/>
        </w:rPr>
      </w:pPr>
      <w:r>
        <w:rPr>
          <w:rFonts w:hint="eastAsia" w:ascii="Times" w:hAnsi="Times" w:eastAsia="宋体" w:cs="Times"/>
          <w:bCs/>
          <w:i w:val="0"/>
          <w:iCs/>
          <w:sz w:val="20"/>
          <w:szCs w:val="20"/>
          <w:lang w:val="en-US" w:eastAsia="zh-CN" w:bidi="ar-SA"/>
        </w:rPr>
        <w:t xml:space="preserve">According to the Low Cost LTE MTC discussion [9], 2.5dB tighten for single Rx FD-FDD/TDD REFSENS and  1.7dB tighten for single Rx HD-FDD REFSENS comparing with 2Rx FD-FDD/TDD REFSENS, respectively. The 2.5dB comes from two parts: one is single Rx will need 3dB more SNR than a 2Rx diversity receiver and the other is </w:t>
      </w:r>
      <w:r>
        <w:rPr>
          <w:rFonts w:hint="default" w:ascii="Times" w:hAnsi="Times" w:eastAsia="宋体" w:cs="Times"/>
          <w:bCs/>
          <w:i w:val="0"/>
          <w:iCs/>
          <w:sz w:val="20"/>
          <w:szCs w:val="20"/>
          <w:lang w:val="en-US" w:eastAsia="zh-CN" w:bidi="ar-SA"/>
        </w:rPr>
        <w:t>compromise of 0.5dB tightening of the implementation margin</w:t>
      </w:r>
      <w:r>
        <w:rPr>
          <w:rFonts w:hint="eastAsia" w:ascii="Times" w:hAnsi="Times" w:eastAsia="宋体" w:cs="Times"/>
          <w:bCs/>
          <w:i w:val="0"/>
          <w:iCs/>
          <w:sz w:val="20"/>
          <w:szCs w:val="20"/>
          <w:lang w:val="en-US" w:eastAsia="zh-CN" w:bidi="ar-SA"/>
        </w:rPr>
        <w:t xml:space="preserve"> for single Rx. Also there exists exception in [9] such as band 20 for 15, 20MHz CBW, where 3dB tighten for single Rx FD-FDD/TDD REFSENS. It can be seen that 0.8dB better for HD-FDD REFSENS comparing with FD-FDD/TDD REFSENS.</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Cs/>
          <w:i w:val="0"/>
          <w:iCs/>
          <w:sz w:val="20"/>
          <w:szCs w:val="20"/>
          <w:lang w:val="en-US" w:eastAsia="zh-CN" w:bidi="ar-SA"/>
        </w:rPr>
      </w:pPr>
      <w:r>
        <w:rPr>
          <w:rFonts w:hint="eastAsia" w:ascii="Times" w:hAnsi="Times" w:eastAsia="宋体" w:cs="Times"/>
          <w:bCs/>
          <w:i w:val="0"/>
          <w:iCs/>
          <w:sz w:val="20"/>
          <w:szCs w:val="20"/>
          <w:lang w:val="en-US" w:eastAsia="zh-CN" w:bidi="ar-SA"/>
        </w:rPr>
        <w:t xml:space="preserve">It shall be noted that the above approach was already considered in the above agreements for 1Rx FD-FDD, and for </w:t>
      </w:r>
      <w:r>
        <w:rPr>
          <w:rFonts w:hint="eastAsia"/>
          <w:sz w:val="20"/>
          <w:szCs w:val="20"/>
          <w:highlight w:val="none"/>
          <w:lang w:val="en-US" w:eastAsia="zh-CN"/>
        </w:rPr>
        <w:t xml:space="preserve">1Rx </w:t>
      </w:r>
      <w:r>
        <w:rPr>
          <w:rFonts w:hint="eastAsia" w:ascii="Times" w:hAnsi="Times" w:eastAsia="宋体" w:cs="Times"/>
          <w:bCs/>
          <w:i w:val="0"/>
          <w:iCs/>
          <w:sz w:val="20"/>
          <w:szCs w:val="20"/>
          <w:lang w:val="en-US" w:eastAsia="zh-CN" w:bidi="ar-SA"/>
        </w:rPr>
        <w:t xml:space="preserve">HD-FDD, less than 2.5dB relaxation </w:t>
      </w:r>
      <w:r>
        <w:rPr>
          <w:sz w:val="20"/>
          <w:szCs w:val="20"/>
          <w:highlight w:val="none"/>
          <w:lang w:eastAsia="zh-CN"/>
        </w:rPr>
        <w:t>of 2Rx NR FDD band REFSENS</w:t>
      </w:r>
      <w:r>
        <w:rPr>
          <w:rFonts w:hint="eastAsia" w:ascii="Times" w:hAnsi="Times" w:eastAsia="宋体" w:cs="Times"/>
          <w:bCs/>
          <w:i w:val="0"/>
          <w:iCs/>
          <w:sz w:val="20"/>
          <w:szCs w:val="20"/>
          <w:lang w:val="en-US" w:eastAsia="zh-CN" w:bidi="ar-SA"/>
        </w:rPr>
        <w:t>, which means the REFSEN requirements for 1</w:t>
      </w:r>
      <w:r>
        <w:rPr>
          <w:rFonts w:hint="default" w:ascii="Times New Roman" w:hAnsi="Times New Roman" w:eastAsia="宋体" w:cs="Times New Roman"/>
          <w:bCs/>
          <w:i w:val="0"/>
          <w:iCs/>
          <w:sz w:val="20"/>
          <w:szCs w:val="20"/>
          <w:lang w:val="en-US" w:eastAsia="zh-CN" w:bidi="ar-SA"/>
        </w:rPr>
        <w:t>Rx HD-FDD are better than 1Rx FD-FDD.</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 w:val="0"/>
          <w:bCs/>
          <w:i w:val="0"/>
          <w:iCs/>
          <w:sz w:val="20"/>
          <w:szCs w:val="20"/>
          <w:lang w:val="en-US" w:eastAsia="zh-CN" w:bidi="ar-SA"/>
        </w:rPr>
        <w:t>In addition, for 2Rx REFSENS requirements for those bands supporting min. 4Rx branches, due to the reductions of the receiver branches, it is no need to consider the additional receiver diversity gain (</w:t>
      </w:r>
      <w:r>
        <w:rPr>
          <w:rFonts w:hint="default" w:ascii="Times New Roman" w:hAnsi="Times New Roman" w:cs="Times New Roman"/>
          <w:sz w:val="20"/>
          <w:szCs w:val="20"/>
        </w:rPr>
        <w:t>ΔR</w:t>
      </w:r>
      <w:r>
        <w:rPr>
          <w:rFonts w:hint="default" w:ascii="Times New Roman" w:hAnsi="Times New Roman" w:cs="Times New Roman"/>
          <w:sz w:val="20"/>
          <w:szCs w:val="20"/>
          <w:vertAlign w:val="subscript"/>
        </w:rPr>
        <w:t>IB,4R</w:t>
      </w:r>
      <w:r>
        <w:rPr>
          <w:rFonts w:hint="default" w:ascii="Times New Roman" w:hAnsi="Times New Roman" w:eastAsia="宋体" w:cs="Times New Roman"/>
          <w:b w:val="0"/>
          <w:bCs/>
          <w:i w:val="0"/>
          <w:iCs/>
          <w:sz w:val="20"/>
          <w:szCs w:val="20"/>
          <w:lang w:val="en-US" w:eastAsia="zh-CN" w:bidi="ar-SA"/>
        </w:rPr>
        <w:t>) for 2Rx branches.</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val="0"/>
          <w:bCs w:val="0"/>
          <w:color w:val="auto"/>
          <w:sz w:val="20"/>
          <w:szCs w:val="20"/>
          <w:highlight w:val="none"/>
          <w:lang w:val="en-US" w:eastAsia="zh-CN" w:bidi="ar-SA"/>
        </w:rPr>
      </w:pPr>
      <w:r>
        <w:rPr>
          <w:rFonts w:hint="default" w:ascii="Times New Roman" w:hAnsi="Times New Roman" w:eastAsia="宋体" w:cs="Times New Roman"/>
          <w:bCs/>
          <w:i w:val="0"/>
          <w:iCs/>
          <w:sz w:val="20"/>
          <w:szCs w:val="20"/>
          <w:lang w:val="en-US" w:eastAsia="zh-CN" w:bidi="ar-SA"/>
        </w:rPr>
        <w:t>Therefore, it is proposed:</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1</w:t>
      </w:r>
      <w:r>
        <w:rPr>
          <w:rFonts w:hint="default" w:ascii="Times New Roman" w:hAnsi="Times New Roman" w:eastAsia="宋体" w:cs="Times New Roman"/>
          <w:b/>
          <w:bCs w:val="0"/>
          <w:i w:val="0"/>
          <w:iCs/>
          <w:sz w:val="20"/>
          <w:szCs w:val="20"/>
          <w:lang w:val="en-US" w:eastAsia="zh-CN" w:bidi="ar-SA"/>
        </w:rPr>
        <w:t>. For single Rx FD-FDD REFSENS:</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Unless stated otherwise: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+ 2.5dB </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For some exception bands: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+ 3 dB </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2</w:t>
      </w:r>
      <w:r>
        <w:rPr>
          <w:rFonts w:hint="default" w:ascii="Times New Roman" w:hAnsi="Times New Roman" w:eastAsia="宋体" w:cs="Times New Roman"/>
          <w:b/>
          <w:bCs w:val="0"/>
          <w:i w:val="0"/>
          <w:iCs/>
          <w:sz w:val="20"/>
          <w:szCs w:val="20"/>
          <w:lang w:val="en-US" w:eastAsia="zh-CN" w:bidi="ar-SA"/>
        </w:rPr>
        <w:t>. For single Rx HD-FDD REFSENS: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2Rx REFSENS + 1.7dB</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3</w:t>
      </w:r>
      <w:r>
        <w:rPr>
          <w:rFonts w:hint="default" w:ascii="Times New Roman" w:hAnsi="Times New Roman" w:eastAsia="宋体" w:cs="Times New Roman"/>
          <w:b/>
          <w:bCs w:val="0"/>
          <w:i w:val="0"/>
          <w:iCs/>
          <w:sz w:val="20"/>
          <w:szCs w:val="20"/>
          <w:lang w:val="en-US" w:eastAsia="zh-CN" w:bidi="ar-SA"/>
        </w:rPr>
        <w:t xml:space="preserve">. For 2Rx+HD-FDD REFSENS: </w:t>
      </w:r>
    </w:p>
    <w:p>
      <w:pPr>
        <w:keepNext/>
        <w:keepLines/>
        <w:pageBreakBefore w:val="0"/>
        <w:widowControl/>
        <w:numPr>
          <w:ilvl w:val="0"/>
          <w:numId w:val="17"/>
        </w:numPr>
        <w:tabs>
          <w:tab w:val="left" w:pos="840"/>
        </w:tabs>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Unless stated otherwise: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- 0.8dB </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For some exception bands: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2Rx REFSENS - 1.3dB</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eastAsia" w:cs="Times New Roman"/>
          <w:b w:val="0"/>
          <w:bCs/>
          <w:color w:val="auto"/>
          <w:sz w:val="20"/>
          <w:szCs w:val="20"/>
          <w:lang w:val="en-US" w:eastAsia="zh-CN"/>
        </w:rPr>
        <w:t>we provide some further discussions on FR1 RedCap UE requirements. The conclusions and the proposals are summarized below:</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1</w:t>
      </w:r>
      <w:r>
        <w:rPr>
          <w:rFonts w:hint="default" w:ascii="Times New Roman" w:hAnsi="Times New Roman" w:eastAsia="宋体" w:cs="Times New Roman"/>
          <w:b/>
          <w:bCs w:val="0"/>
          <w:i w:val="0"/>
          <w:iCs/>
          <w:sz w:val="20"/>
          <w:szCs w:val="20"/>
          <w:lang w:val="en-US" w:eastAsia="zh-CN" w:bidi="ar-SA"/>
        </w:rPr>
        <w:t>. For single Rx FD-FDD REFSENS:</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Unless stated otherwise: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+ 2.5dB </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For some exception bands: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+ 3 dB </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2</w:t>
      </w:r>
      <w:r>
        <w:rPr>
          <w:rFonts w:hint="default" w:ascii="Times New Roman" w:hAnsi="Times New Roman" w:eastAsia="宋体" w:cs="Times New Roman"/>
          <w:b/>
          <w:bCs w:val="0"/>
          <w:i w:val="0"/>
          <w:iCs/>
          <w:sz w:val="20"/>
          <w:szCs w:val="20"/>
          <w:lang w:val="en-US" w:eastAsia="zh-CN" w:bidi="ar-SA"/>
        </w:rPr>
        <w:t>. For single Rx HD-FDD REFSENS: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2Rx REFSENS + 1.7dB</w:t>
      </w:r>
    </w:p>
    <w:p>
      <w:pPr>
        <w:keepNext/>
        <w:keepLines/>
        <w:pageBreakBefore w:val="0"/>
        <w:widowControl/>
        <w:numPr>
          <w:ilvl w:val="0"/>
          <w:numId w:val="0"/>
        </w:numPr>
        <w:kinsoku/>
        <w:wordWrap/>
        <w:overflowPunct w:val="0"/>
        <w:topLinePunct w:val="0"/>
        <w:autoSpaceDE/>
        <w:autoSpaceDN/>
        <w:bidi w:val="0"/>
        <w:adjustRightInd/>
        <w:snapToGrid/>
        <w:spacing w:after="12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 xml:space="preserve">Proposal </w:t>
      </w:r>
      <w:r>
        <w:rPr>
          <w:rFonts w:hint="eastAsia" w:eastAsia="宋体" w:cs="Times New Roman"/>
          <w:b/>
          <w:bCs w:val="0"/>
          <w:i w:val="0"/>
          <w:iCs/>
          <w:sz w:val="20"/>
          <w:szCs w:val="20"/>
          <w:lang w:val="en-US" w:eastAsia="zh-CN" w:bidi="ar-SA"/>
        </w:rPr>
        <w:t>3</w:t>
      </w:r>
      <w:bookmarkStart w:id="4" w:name="_GoBack"/>
      <w:bookmarkEnd w:id="4"/>
      <w:r>
        <w:rPr>
          <w:rFonts w:hint="default" w:ascii="Times New Roman" w:hAnsi="Times New Roman" w:eastAsia="宋体" w:cs="Times New Roman"/>
          <w:b/>
          <w:bCs w:val="0"/>
          <w:i w:val="0"/>
          <w:iCs/>
          <w:sz w:val="20"/>
          <w:szCs w:val="20"/>
          <w:lang w:val="en-US" w:eastAsia="zh-CN" w:bidi="ar-SA"/>
        </w:rPr>
        <w:t xml:space="preserve">. For 2Rx+HD-FDD REFSENS: </w:t>
      </w:r>
    </w:p>
    <w:p>
      <w:pPr>
        <w:keepNext/>
        <w:keepLines/>
        <w:pageBreakBefore w:val="0"/>
        <w:widowControl/>
        <w:numPr>
          <w:ilvl w:val="0"/>
          <w:numId w:val="17"/>
        </w:numPr>
        <w:tabs>
          <w:tab w:val="left" w:pos="840"/>
        </w:tabs>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Unless stated otherwise: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 xml:space="preserve">2Rx REFSENS - 0.8dB </w:t>
      </w:r>
    </w:p>
    <w:p>
      <w:pPr>
        <w:keepNext/>
        <w:keepLines/>
        <w:pageBreakBefore w:val="0"/>
        <w:widowControl/>
        <w:numPr>
          <w:ilvl w:val="0"/>
          <w:numId w:val="17"/>
        </w:numPr>
        <w:kinsoku/>
        <w:wordWrap/>
        <w:overflowPunct w:val="0"/>
        <w:topLinePunct w:val="0"/>
        <w:autoSpaceDE/>
        <w:autoSpaceDN/>
        <w:bidi w:val="0"/>
        <w:adjustRightInd/>
        <w:snapToGrid/>
        <w:spacing w:after="120"/>
        <w:ind w:left="1300" w:leftChars="0" w:hanging="420" w:firstLineChars="0"/>
        <w:jc w:val="both"/>
        <w:textAlignment w:val="auto"/>
        <w:rPr>
          <w:rFonts w:hint="default" w:ascii="Times New Roman" w:hAnsi="Times New Roman" w:eastAsia="宋体" w:cs="Times New Roman"/>
          <w:b/>
          <w:bCs w:val="0"/>
          <w:i w:val="0"/>
          <w:iCs/>
          <w:sz w:val="20"/>
          <w:szCs w:val="20"/>
          <w:lang w:val="en-US" w:eastAsia="zh-CN" w:bidi="ar-SA"/>
        </w:rPr>
      </w:pPr>
      <w:r>
        <w:rPr>
          <w:rFonts w:hint="default" w:ascii="Times New Roman" w:hAnsi="Times New Roman" w:eastAsia="宋体" w:cs="Times New Roman"/>
          <w:b/>
          <w:bCs w:val="0"/>
          <w:i w:val="0"/>
          <w:iCs/>
          <w:sz w:val="20"/>
          <w:szCs w:val="20"/>
          <w:lang w:val="en-US" w:eastAsia="zh-CN" w:bidi="ar-SA"/>
        </w:rPr>
        <w:t>For some exception bands: E</w:t>
      </w:r>
      <w:r>
        <w:rPr>
          <w:rFonts w:hint="default" w:ascii="Times New Roman" w:hAnsi="Times New Roman" w:eastAsia="宋体" w:cs="Times New Roman"/>
          <w:b/>
          <w:bCs w:val="0"/>
          <w:i w:val="0"/>
          <w:iCs/>
          <w:strike w:val="0"/>
          <w:dstrike w:val="0"/>
          <w:sz w:val="20"/>
          <w:szCs w:val="20"/>
          <w:lang w:val="en-US" w:eastAsia="zh-CN" w:bidi="ar-SA"/>
        </w:rPr>
        <w:t xml:space="preserve">xisting </w:t>
      </w:r>
      <w:r>
        <w:rPr>
          <w:rFonts w:hint="default" w:ascii="Times New Roman" w:hAnsi="Times New Roman" w:eastAsia="宋体" w:cs="Times New Roman"/>
          <w:b/>
          <w:bCs w:val="0"/>
          <w:i w:val="0"/>
          <w:iCs/>
          <w:sz w:val="20"/>
          <w:szCs w:val="20"/>
          <w:lang w:val="en-US" w:eastAsia="zh-CN" w:bidi="ar-SA"/>
        </w:rPr>
        <w:t>2Rx REFSENS - 1.3dB</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 w:val="0"/>
          <w:color w:val="auto"/>
          <w:sz w:val="20"/>
          <w:szCs w:val="20"/>
          <w:highlight w:val="none"/>
          <w:lang w:val="en-US" w:eastAsia="ja-JP"/>
        </w:rPr>
        <w:t>[</w:t>
      </w:r>
      <w:r>
        <w:rPr>
          <w:rFonts w:hint="eastAsia" w:ascii="Times New Roman" w:hAnsi="Times New Roman" w:eastAsia="宋体" w:cs="Times New Roman"/>
          <w:b w:val="0"/>
          <w:bCs w:val="0"/>
          <w:color w:val="auto"/>
          <w:sz w:val="20"/>
          <w:szCs w:val="20"/>
          <w:highlight w:val="none"/>
          <w:lang w:val="en-US" w:eastAsia="zh-CN"/>
        </w:rPr>
        <w:t>1</w:t>
      </w:r>
      <w:r>
        <w:rPr>
          <w:rFonts w:hint="default" w:ascii="Times New Roman" w:hAnsi="Times New Roman" w:eastAsia="宋体" w:cs="Times New Roman"/>
          <w:b w:val="0"/>
          <w:color w:val="auto"/>
          <w:sz w:val="20"/>
          <w:szCs w:val="20"/>
          <w:highlight w:val="none"/>
          <w:lang w:val="en-US" w:eastAsia="ja-JP"/>
        </w:rPr>
        <w:t xml:space="preserve">] R4-2112912, </w:t>
      </w:r>
      <w:r>
        <w:rPr>
          <w:rFonts w:hint="default" w:ascii="Times New Roman" w:hAnsi="Times New Roman" w:eastAsia="宋体" w:cs="Times New Roman"/>
          <w:b w:val="0"/>
          <w:bCs w:val="0"/>
          <w:color w:val="auto"/>
          <w:sz w:val="20"/>
          <w:szCs w:val="20"/>
          <w:highlight w:val="none"/>
          <w:lang w:val="en-US" w:eastAsia="ja-JP"/>
        </w:rPr>
        <w:t>discussion on Red</w:t>
      </w:r>
      <w:r>
        <w:rPr>
          <w:rFonts w:hint="default" w:eastAsia="宋体" w:cs="Times New Roman"/>
          <w:b w:val="0"/>
          <w:bCs w:val="0"/>
          <w:color w:val="auto"/>
          <w:sz w:val="20"/>
          <w:szCs w:val="20"/>
          <w:highlight w:val="none"/>
          <w:lang w:val="en-US" w:eastAsia="ja-JP"/>
        </w:rPr>
        <w:t>C</w:t>
      </w:r>
      <w:r>
        <w:rPr>
          <w:rFonts w:hint="default" w:ascii="Times New Roman" w:hAnsi="Times New Roman" w:eastAsia="宋体" w:cs="Times New Roman"/>
          <w:b w:val="0"/>
          <w:bCs w:val="0"/>
          <w:color w:val="auto"/>
          <w:sz w:val="20"/>
          <w:szCs w:val="20"/>
          <w:highlight w:val="none"/>
          <w:lang w:val="en-US" w:eastAsia="ja-JP"/>
        </w:rPr>
        <w:t>ap UE req</w:t>
      </w:r>
      <w:r>
        <w:rPr>
          <w:rFonts w:hint="default" w:eastAsia="宋体" w:cs="Times New Roman"/>
          <w:b w:val="0"/>
          <w:bCs w:val="0"/>
          <w:color w:val="auto"/>
          <w:sz w:val="20"/>
          <w:szCs w:val="20"/>
          <w:highlight w:val="none"/>
          <w:lang w:val="en-US" w:eastAsia="ja-JP"/>
        </w:rPr>
        <w:t>u</w:t>
      </w:r>
      <w:r>
        <w:rPr>
          <w:rFonts w:hint="default" w:ascii="Times New Roman" w:hAnsi="Times New Roman" w:eastAsia="宋体" w:cs="Times New Roman"/>
          <w:b w:val="0"/>
          <w:bCs w:val="0"/>
          <w:color w:val="auto"/>
          <w:sz w:val="20"/>
          <w:szCs w:val="20"/>
          <w:highlight w:val="none"/>
          <w:lang w:val="en-US" w:eastAsia="ja-JP"/>
        </w:rPr>
        <w:t>irements, ZTE Corporation</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[2]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"https://www.3gpp.org/ftp/TSG_RAN/WG4_Radio/TSGR4_100-e/Docs/R4-2112385.zip"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R4-2112385</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RedCap UE REFSENS requirements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Apple</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[3]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"https://www.3gpp.org/ftp/TSG_RAN/WG4_Radio/TSGR4_100-e/Docs/R4-2112890.zip"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R4-2112890</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Considerations on RF receiver for RedCap FR1</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Sony</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[4]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"https://www.3gpp.org/ftp/TSG_RAN/WG4_Radio/TSGR4_100-e/Docs/R4-2112985.zip"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R4-2112985</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Views on RedCap REFSENS requirements</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vivo</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[5]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"https://www.3gpp.org/ftp/TSG_RAN/WG4_Radio/TSGR4_100-e/Docs/R4-2113101.zip"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R4-2113101</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Rx requirements for FR1 Redcap UE</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Xiaomi</w:t>
      </w:r>
    </w:p>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[6]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"https://www.3gpp.org/ftp/TSG_RAN/WG4_Radio/TSGR4_100-e/Docs/R4-2113408.zip"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R4-2113408</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Discussion on RF requirements for RedCap UE</w:t>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Huawei, HiSilicon</w:t>
      </w:r>
    </w:p>
    <w:p>
      <w:pPr>
        <w:keepNext/>
        <w:keepLines/>
        <w:spacing w:after="120"/>
        <w:ind w:left="0" w:firstLine="0"/>
        <w:rPr>
          <w:rFonts w:hint="default" w:ascii="Times New Roman" w:hAnsi="Times New Roman" w:eastAsia="宋体" w:cs="Times New Roman"/>
          <w:b w:val="0"/>
          <w:bCs w:val="0"/>
          <w:color w:val="auto"/>
          <w:sz w:val="20"/>
          <w:szCs w:val="20"/>
          <w:highlight w:val="none"/>
          <w:lang w:val="en-US" w:eastAsia="ja-JP"/>
        </w:rPr>
      </w:pPr>
      <w:r>
        <w:rPr>
          <w:rFonts w:hint="eastAsia" w:eastAsia="宋体" w:cs="Times New Roman"/>
          <w:b w:val="0"/>
          <w:bCs w:val="0"/>
          <w:color w:val="auto"/>
          <w:sz w:val="20"/>
          <w:szCs w:val="20"/>
          <w:highlight w:val="none"/>
          <w:lang w:val="en-US" w:eastAsia="zh-CN"/>
        </w:rPr>
        <w:t xml:space="preserve">[7] </w:t>
      </w:r>
      <w:r>
        <w:rPr>
          <w:rFonts w:hint="default" w:ascii="Times New Roman" w:hAnsi="Times New Roman" w:eastAsia="宋体" w:cs="Times New Roman"/>
          <w:b w:val="0"/>
          <w:bCs w:val="0"/>
          <w:color w:val="auto"/>
          <w:sz w:val="20"/>
          <w:szCs w:val="20"/>
          <w:highlight w:val="none"/>
          <w:lang w:val="en-US" w:eastAsia="ja-JP"/>
        </w:rPr>
        <w:fldChar w:fldCharType="begin"/>
      </w:r>
      <w:r>
        <w:rPr>
          <w:rFonts w:hint="default" w:ascii="Times New Roman" w:hAnsi="Times New Roman" w:eastAsia="宋体" w:cs="Times New Roman"/>
          <w:b w:val="0"/>
          <w:bCs w:val="0"/>
          <w:color w:val="auto"/>
          <w:sz w:val="20"/>
          <w:szCs w:val="20"/>
          <w:highlight w:val="none"/>
          <w:lang w:val="en-US" w:eastAsia="ja-JP"/>
        </w:rPr>
        <w:instrText xml:space="preserve"> HYPERLINK "https://www.3gpp.org/ftp/TSG_RAN/WG4_Radio/TSGR4_100-e/Docs/R4-2114075.zip" </w:instrText>
      </w:r>
      <w:r>
        <w:rPr>
          <w:rFonts w:hint="default" w:ascii="Times New Roman" w:hAnsi="Times New Roman" w:eastAsia="宋体" w:cs="Times New Roman"/>
          <w:b w:val="0"/>
          <w:bCs w:val="0"/>
          <w:color w:val="auto"/>
          <w:sz w:val="20"/>
          <w:szCs w:val="20"/>
          <w:highlight w:val="none"/>
          <w:lang w:val="en-US" w:eastAsia="ja-JP"/>
        </w:rPr>
        <w:fldChar w:fldCharType="separate"/>
      </w:r>
      <w:r>
        <w:rPr>
          <w:rFonts w:hint="default" w:ascii="Times New Roman" w:hAnsi="Times New Roman" w:eastAsia="宋体" w:cs="Times New Roman"/>
          <w:b w:val="0"/>
          <w:bCs w:val="0"/>
          <w:color w:val="auto"/>
          <w:sz w:val="20"/>
          <w:szCs w:val="20"/>
          <w:highlight w:val="none"/>
          <w:lang w:val="en-US" w:eastAsia="ja-JP"/>
        </w:rPr>
        <w:t>R4-2114075</w:t>
      </w:r>
      <w:r>
        <w:rPr>
          <w:rFonts w:hint="default" w:ascii="Times New Roman" w:hAnsi="Times New Roman" w:eastAsia="宋体" w:cs="Times New Roman"/>
          <w:b w:val="0"/>
          <w:bCs w:val="0"/>
          <w:color w:val="auto"/>
          <w:sz w:val="20"/>
          <w:szCs w:val="20"/>
          <w:highlight w:val="none"/>
          <w:lang w:val="en-US" w:eastAsia="ja-JP"/>
        </w:rPr>
        <w:fldChar w:fldCharType="end"/>
      </w:r>
      <w:r>
        <w:rPr>
          <w:rFonts w:hint="eastAsia" w:ascii="Times New Roman" w:hAnsi="Times New Roman"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ja-JP"/>
        </w:rPr>
        <w:t>RedCap UE Rx requirements for FR1</w:t>
      </w:r>
      <w:r>
        <w:rPr>
          <w:rFonts w:hint="eastAsia" w:ascii="Times New Roman" w:hAnsi="Times New Roman"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ja-JP"/>
        </w:rPr>
        <w:t>Nokia, Nokia Shanghai Bell</w:t>
      </w:r>
      <w:bookmarkStart w:id="3" w:name="_Ref79069346"/>
    </w:p>
    <w:bookmarkEnd w:id="3"/>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ja-JP"/>
        </w:rPr>
      </w:pPr>
      <w:r>
        <w:rPr>
          <w:rFonts w:hint="default" w:ascii="Times New Roman" w:hAnsi="Times New Roman" w:eastAsia="宋体" w:cs="Times New Roman"/>
          <w:bCs w:val="0"/>
          <w:color w:val="auto"/>
          <w:sz w:val="20"/>
          <w:szCs w:val="20"/>
          <w:highlight w:val="none"/>
          <w:lang w:val="en-US" w:eastAsia="ja-JP"/>
        </w:rPr>
        <w:t>[</w:t>
      </w:r>
      <w:r>
        <w:rPr>
          <w:rFonts w:hint="eastAsia" w:eastAsia="宋体" w:cs="Times New Roman"/>
          <w:bCs w:val="0"/>
          <w:color w:val="auto"/>
          <w:sz w:val="20"/>
          <w:szCs w:val="20"/>
          <w:highlight w:val="none"/>
          <w:lang w:val="en-US" w:eastAsia="zh-CN"/>
        </w:rPr>
        <w:t>8</w:t>
      </w:r>
      <w:r>
        <w:rPr>
          <w:rFonts w:hint="default" w:ascii="Times New Roman" w:hAnsi="Times New Roman" w:eastAsia="宋体" w:cs="Times New Roman"/>
          <w:bCs w:val="0"/>
          <w:color w:val="auto"/>
          <w:sz w:val="20"/>
          <w:szCs w:val="20"/>
          <w:highlight w:val="none"/>
          <w:lang w:val="en-US" w:eastAsia="ja-JP"/>
        </w:rPr>
        <w:t xml:space="preserve">] </w:t>
      </w:r>
      <w:r>
        <w:rPr>
          <w:rFonts w:ascii="Times New Roman" w:hAnsi="Times New Roman" w:eastAsia="宋体" w:cs="Times New Roman"/>
          <w:bCs w:val="0"/>
          <w:color w:val="auto"/>
          <w:sz w:val="20"/>
          <w:szCs w:val="20"/>
          <w:highlight w:val="none"/>
          <w:lang w:val="en-US" w:eastAsia="ja-JP"/>
        </w:rPr>
        <w:t>R4-2114995</w:t>
      </w:r>
      <w:r>
        <w:rPr>
          <w:rFonts w:hint="default" w:ascii="Times New Roman" w:hAnsi="Times New Roman" w:eastAsia="宋体" w:cs="Times New Roman"/>
          <w:bCs w:val="0"/>
          <w:color w:val="auto"/>
          <w:sz w:val="20"/>
          <w:szCs w:val="20"/>
          <w:highlight w:val="none"/>
          <w:lang w:val="en-US" w:eastAsia="ja-JP"/>
        </w:rPr>
        <w:t xml:space="preserve">, </w:t>
      </w:r>
      <w:r>
        <w:rPr>
          <w:rFonts w:ascii="Times New Roman" w:hAnsi="Times New Roman" w:eastAsia="宋体" w:cs="Times New Roman"/>
          <w:color w:val="auto"/>
          <w:sz w:val="20"/>
          <w:highlight w:val="none"/>
          <w:lang w:val="en-US" w:eastAsia="ja-JP"/>
        </w:rPr>
        <w:t>WF on RedCap REFSENS in FR1</w:t>
      </w:r>
      <w:r>
        <w:rPr>
          <w:rFonts w:hint="default" w:ascii="Times New Roman" w:hAnsi="Times New Roman" w:eastAsia="宋体" w:cs="Times New Roman"/>
          <w:color w:val="auto"/>
          <w:sz w:val="20"/>
          <w:highlight w:val="none"/>
          <w:lang w:val="en-US" w:eastAsia="ja-JP"/>
        </w:rPr>
        <w:t xml:space="preserve">, </w:t>
      </w:r>
      <w:r>
        <w:rPr>
          <w:rFonts w:ascii="Times New Roman" w:hAnsi="Times New Roman" w:eastAsia="宋体" w:cs="Times New Roman"/>
          <w:color w:val="auto"/>
          <w:sz w:val="20"/>
          <w:highlight w:val="none"/>
          <w:lang w:val="en-US" w:eastAsia="ja-JP"/>
        </w:rPr>
        <w:t>Sony</w:t>
      </w:r>
    </w:p>
    <w:p>
      <w:pPr>
        <w:keepNext/>
        <w:keepLines/>
        <w:pageBreakBefore w:val="0"/>
        <w:widowControl/>
        <w:tabs>
          <w:tab w:val="left" w:pos="1560"/>
        </w:tabs>
        <w:kinsoku/>
        <w:wordWrap/>
        <w:topLinePunct w:val="0"/>
        <w:bidi w:val="0"/>
        <w:snapToGrid/>
        <w:spacing w:after="120"/>
        <w:ind w:left="0" w:firstLine="0"/>
        <w:jc w:val="left"/>
        <w:rPr>
          <w:rFonts w:hint="default"/>
          <w:color w:val="auto"/>
          <w:lang w:val="en-US" w:eastAsia="zh-CN"/>
        </w:rPr>
      </w:pPr>
      <w:r>
        <w:rPr>
          <w:rFonts w:hint="default" w:eastAsia="宋体" w:cs="Times New Roman"/>
          <w:b w:val="0"/>
          <w:bCs w:val="0"/>
          <w:color w:val="auto"/>
          <w:sz w:val="20"/>
          <w:szCs w:val="20"/>
          <w:highlight w:val="none"/>
          <w:lang w:val="en-US" w:eastAsia="ja-JP"/>
        </w:rPr>
        <w:t>[</w:t>
      </w:r>
      <w:r>
        <w:rPr>
          <w:rFonts w:hint="eastAsia" w:eastAsia="宋体" w:cs="Times New Roman"/>
          <w:b w:val="0"/>
          <w:bCs w:val="0"/>
          <w:color w:val="auto"/>
          <w:sz w:val="20"/>
          <w:szCs w:val="20"/>
          <w:highlight w:val="none"/>
          <w:lang w:val="en-US" w:eastAsia="zh-CN"/>
        </w:rPr>
        <w:t>9</w:t>
      </w:r>
      <w:r>
        <w:rPr>
          <w:rFonts w:hint="default" w:eastAsia="宋体" w:cs="Times New Roman"/>
          <w:b w:val="0"/>
          <w:bCs w:val="0"/>
          <w:color w:val="auto"/>
          <w:sz w:val="20"/>
          <w:szCs w:val="20"/>
          <w:highlight w:val="none"/>
          <w:lang w:val="en-US" w:eastAsia="ja-JP"/>
        </w:rPr>
        <w:t xml:space="preserve">] </w:t>
      </w:r>
      <w:r>
        <w:rPr>
          <w:rFonts w:eastAsia="宋体"/>
          <w:color w:val="auto"/>
          <w:sz w:val="20"/>
          <w:highlight w:val="none"/>
          <w:lang w:val="en-US" w:eastAsia="ja-JP"/>
        </w:rPr>
        <w:t xml:space="preserve">R4-147954 , Reference sensitivity WF for MTC, </w:t>
      </w:r>
      <w:r>
        <w:rPr>
          <w:rFonts w:eastAsia="宋体"/>
          <w:i w:val="0"/>
          <w:iCs w:val="0"/>
          <w:color w:val="auto"/>
          <w:sz w:val="20"/>
          <w:highlight w:val="none"/>
          <w:lang w:val="en-US" w:eastAsia="ja-JP"/>
        </w:rPr>
        <w:t>Vodafone</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A50CB7"/>
    <w:multiLevelType w:val="multilevel"/>
    <w:tmpl w:val="BEA50CB7"/>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D876D2C"/>
    <w:multiLevelType w:val="singleLevel"/>
    <w:tmpl w:val="CD876D2C"/>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3">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4">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26754B"/>
    <w:multiLevelType w:val="multilevel"/>
    <w:tmpl w:val="422675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55D0D2C"/>
    <w:multiLevelType w:val="multilevel"/>
    <w:tmpl w:val="555D0D2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3"/>
  </w:num>
  <w:num w:numId="2">
    <w:abstractNumId w:val="5"/>
  </w:num>
  <w:num w:numId="3">
    <w:abstractNumId w:val="4"/>
  </w:num>
  <w:num w:numId="4">
    <w:abstractNumId w:val="3"/>
  </w:num>
  <w:num w:numId="5">
    <w:abstractNumId w:val="2"/>
  </w:num>
  <w:num w:numId="6">
    <w:abstractNumId w:val="12"/>
  </w:num>
  <w:num w:numId="7">
    <w:abstractNumId w:val="14"/>
  </w:num>
  <w:num w:numId="8">
    <w:abstractNumId w:val="16"/>
  </w:num>
  <w:num w:numId="9">
    <w:abstractNumId w:val="8"/>
  </w:num>
  <w:num w:numId="10">
    <w:abstractNumId w:val="9"/>
  </w:num>
  <w:num w:numId="11">
    <w:abstractNumId w:val="6"/>
  </w:num>
  <w:num w:numId="12">
    <w:abstractNumId w:val="15"/>
  </w:num>
  <w:num w:numId="13">
    <w:abstractNumId w:val="10"/>
  </w:num>
  <w:num w:numId="14">
    <w:abstractNumId w:val="1"/>
  </w:num>
  <w:num w:numId="15">
    <w:abstractNumId w:val="7"/>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621B7"/>
    <w:rsid w:val="01965BE3"/>
    <w:rsid w:val="019B31EC"/>
    <w:rsid w:val="019C6F0B"/>
    <w:rsid w:val="01A10B4A"/>
    <w:rsid w:val="01A5580E"/>
    <w:rsid w:val="01A92BDD"/>
    <w:rsid w:val="01AB1190"/>
    <w:rsid w:val="01AE603F"/>
    <w:rsid w:val="01B26CA7"/>
    <w:rsid w:val="01B37AB2"/>
    <w:rsid w:val="01B4389E"/>
    <w:rsid w:val="01B50EE4"/>
    <w:rsid w:val="01C03267"/>
    <w:rsid w:val="01C230B8"/>
    <w:rsid w:val="01C605AA"/>
    <w:rsid w:val="01C77E59"/>
    <w:rsid w:val="01CC7635"/>
    <w:rsid w:val="01D63E85"/>
    <w:rsid w:val="01DC352B"/>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679BC"/>
    <w:rsid w:val="02A175C2"/>
    <w:rsid w:val="02A27389"/>
    <w:rsid w:val="02A7092C"/>
    <w:rsid w:val="02A76EA9"/>
    <w:rsid w:val="02A774B5"/>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4572D"/>
    <w:rsid w:val="04CE5DAA"/>
    <w:rsid w:val="04D06A94"/>
    <w:rsid w:val="04D707E1"/>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0B99"/>
    <w:rsid w:val="058D33C5"/>
    <w:rsid w:val="058D4498"/>
    <w:rsid w:val="058E4F3F"/>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7A3500"/>
    <w:rsid w:val="06857371"/>
    <w:rsid w:val="068B32C2"/>
    <w:rsid w:val="068B6B45"/>
    <w:rsid w:val="06932512"/>
    <w:rsid w:val="069561E9"/>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A4FE1"/>
    <w:rsid w:val="088B2800"/>
    <w:rsid w:val="088D3DB3"/>
    <w:rsid w:val="089248A3"/>
    <w:rsid w:val="08A14169"/>
    <w:rsid w:val="08A307F0"/>
    <w:rsid w:val="08AB7ED7"/>
    <w:rsid w:val="08AF3AE8"/>
    <w:rsid w:val="08B32027"/>
    <w:rsid w:val="08BB05A9"/>
    <w:rsid w:val="08BB173B"/>
    <w:rsid w:val="08BC09FB"/>
    <w:rsid w:val="08BE75AC"/>
    <w:rsid w:val="08CD311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F0069"/>
    <w:rsid w:val="092F4A13"/>
    <w:rsid w:val="092F608F"/>
    <w:rsid w:val="09310D62"/>
    <w:rsid w:val="093D0A50"/>
    <w:rsid w:val="093F1597"/>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A2934"/>
    <w:rsid w:val="0C20567B"/>
    <w:rsid w:val="0C2E6B77"/>
    <w:rsid w:val="0C392883"/>
    <w:rsid w:val="0C3C2137"/>
    <w:rsid w:val="0C3F1A65"/>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A4198"/>
    <w:rsid w:val="0F7E149C"/>
    <w:rsid w:val="0F802095"/>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C4566"/>
    <w:rsid w:val="111735DD"/>
    <w:rsid w:val="111E4474"/>
    <w:rsid w:val="112103C5"/>
    <w:rsid w:val="11223E45"/>
    <w:rsid w:val="1125568E"/>
    <w:rsid w:val="1128676D"/>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A3399C"/>
    <w:rsid w:val="13AC5BEA"/>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B15054"/>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ED1065"/>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A711A"/>
    <w:rsid w:val="193B6A4A"/>
    <w:rsid w:val="193E651C"/>
    <w:rsid w:val="194174BB"/>
    <w:rsid w:val="19440C40"/>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748F0"/>
    <w:rsid w:val="1A1C5CC5"/>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F51"/>
    <w:rsid w:val="1D1F2296"/>
    <w:rsid w:val="1D2740FC"/>
    <w:rsid w:val="1D2A3DC3"/>
    <w:rsid w:val="1D2A48BA"/>
    <w:rsid w:val="1D2F6DCA"/>
    <w:rsid w:val="1D311853"/>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04D75"/>
    <w:rsid w:val="1D7562B9"/>
    <w:rsid w:val="1D7661C3"/>
    <w:rsid w:val="1D77376F"/>
    <w:rsid w:val="1D7A174B"/>
    <w:rsid w:val="1D82010E"/>
    <w:rsid w:val="1D865F4E"/>
    <w:rsid w:val="1D872468"/>
    <w:rsid w:val="1D890FB7"/>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F1284C"/>
    <w:rsid w:val="1DF4071D"/>
    <w:rsid w:val="1DF71610"/>
    <w:rsid w:val="1DF87F5F"/>
    <w:rsid w:val="1DFB085F"/>
    <w:rsid w:val="1E0476BD"/>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127F6"/>
    <w:rsid w:val="20034697"/>
    <w:rsid w:val="200543AC"/>
    <w:rsid w:val="20096DC9"/>
    <w:rsid w:val="200C37FD"/>
    <w:rsid w:val="200D7333"/>
    <w:rsid w:val="20125BCF"/>
    <w:rsid w:val="20173670"/>
    <w:rsid w:val="20185D38"/>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F232F"/>
    <w:rsid w:val="23001CE0"/>
    <w:rsid w:val="230041A1"/>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78D8"/>
    <w:rsid w:val="262F3AEB"/>
    <w:rsid w:val="263603F5"/>
    <w:rsid w:val="263A1E7C"/>
    <w:rsid w:val="263B5AEF"/>
    <w:rsid w:val="264278DB"/>
    <w:rsid w:val="264C0C16"/>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AD2B79"/>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304E3B"/>
    <w:rsid w:val="273278B9"/>
    <w:rsid w:val="27350F58"/>
    <w:rsid w:val="27352C28"/>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F321D8"/>
    <w:rsid w:val="28F60D2F"/>
    <w:rsid w:val="28F81A3A"/>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87389"/>
    <w:rsid w:val="2A10006B"/>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967D6"/>
    <w:rsid w:val="2B9F161E"/>
    <w:rsid w:val="2BA01AB2"/>
    <w:rsid w:val="2BA1091C"/>
    <w:rsid w:val="2BA24EA9"/>
    <w:rsid w:val="2BA326B6"/>
    <w:rsid w:val="2BA4061C"/>
    <w:rsid w:val="2BA56565"/>
    <w:rsid w:val="2BAD048A"/>
    <w:rsid w:val="2BAF422F"/>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63844"/>
    <w:rsid w:val="2CC823DB"/>
    <w:rsid w:val="2CD4717B"/>
    <w:rsid w:val="2CDD7FEB"/>
    <w:rsid w:val="2CE1756B"/>
    <w:rsid w:val="2CE202D4"/>
    <w:rsid w:val="2CE914BE"/>
    <w:rsid w:val="2CEA0BBE"/>
    <w:rsid w:val="2CF03153"/>
    <w:rsid w:val="2CFE082A"/>
    <w:rsid w:val="2D024598"/>
    <w:rsid w:val="2D03574C"/>
    <w:rsid w:val="2D0772FD"/>
    <w:rsid w:val="2D0947D4"/>
    <w:rsid w:val="2D0C28DF"/>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A4A9C"/>
    <w:rsid w:val="300D55ED"/>
    <w:rsid w:val="300D7B1B"/>
    <w:rsid w:val="300F21EC"/>
    <w:rsid w:val="300F767A"/>
    <w:rsid w:val="30176BA2"/>
    <w:rsid w:val="30177DAE"/>
    <w:rsid w:val="301B4680"/>
    <w:rsid w:val="302608B5"/>
    <w:rsid w:val="302719FF"/>
    <w:rsid w:val="302722EF"/>
    <w:rsid w:val="30293768"/>
    <w:rsid w:val="30303659"/>
    <w:rsid w:val="30341BB0"/>
    <w:rsid w:val="303620E5"/>
    <w:rsid w:val="303A3879"/>
    <w:rsid w:val="303D0DE2"/>
    <w:rsid w:val="303E7772"/>
    <w:rsid w:val="30420E93"/>
    <w:rsid w:val="30436446"/>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B001DD"/>
    <w:rsid w:val="30B11949"/>
    <w:rsid w:val="30B47501"/>
    <w:rsid w:val="30B63831"/>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14204"/>
    <w:rsid w:val="35117CA3"/>
    <w:rsid w:val="351446B3"/>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C0A30"/>
    <w:rsid w:val="367C1CB9"/>
    <w:rsid w:val="367C5231"/>
    <w:rsid w:val="367D1308"/>
    <w:rsid w:val="367E6C51"/>
    <w:rsid w:val="368010F6"/>
    <w:rsid w:val="3689641E"/>
    <w:rsid w:val="368E7CA9"/>
    <w:rsid w:val="369363BC"/>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A7A4A"/>
    <w:rsid w:val="37C144CC"/>
    <w:rsid w:val="37C73B14"/>
    <w:rsid w:val="37C768E5"/>
    <w:rsid w:val="37C830DF"/>
    <w:rsid w:val="37C93BFB"/>
    <w:rsid w:val="37D05D39"/>
    <w:rsid w:val="37D10CB9"/>
    <w:rsid w:val="37F2418D"/>
    <w:rsid w:val="37FB2F82"/>
    <w:rsid w:val="3803718F"/>
    <w:rsid w:val="38091FFF"/>
    <w:rsid w:val="3809520B"/>
    <w:rsid w:val="380F6701"/>
    <w:rsid w:val="38124A9D"/>
    <w:rsid w:val="381C1372"/>
    <w:rsid w:val="38204A20"/>
    <w:rsid w:val="38241F4A"/>
    <w:rsid w:val="382474BE"/>
    <w:rsid w:val="382B33B0"/>
    <w:rsid w:val="38310D30"/>
    <w:rsid w:val="38344F6F"/>
    <w:rsid w:val="383D5808"/>
    <w:rsid w:val="38465EFC"/>
    <w:rsid w:val="38470572"/>
    <w:rsid w:val="38487E16"/>
    <w:rsid w:val="385035FF"/>
    <w:rsid w:val="38507266"/>
    <w:rsid w:val="38527B50"/>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107A70"/>
    <w:rsid w:val="3A15725D"/>
    <w:rsid w:val="3A1C5DFA"/>
    <w:rsid w:val="3A1D4E9A"/>
    <w:rsid w:val="3A1E5C85"/>
    <w:rsid w:val="3A227A56"/>
    <w:rsid w:val="3A2D3FFB"/>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D83A9E"/>
    <w:rsid w:val="3ADD4A23"/>
    <w:rsid w:val="3ADF6377"/>
    <w:rsid w:val="3AE10411"/>
    <w:rsid w:val="3AE1451D"/>
    <w:rsid w:val="3AE52C73"/>
    <w:rsid w:val="3AE66C68"/>
    <w:rsid w:val="3AED7403"/>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3A0A6E"/>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606AA"/>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43787D"/>
    <w:rsid w:val="3F44683E"/>
    <w:rsid w:val="3F4E70D6"/>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724C49"/>
    <w:rsid w:val="44732CF0"/>
    <w:rsid w:val="44735953"/>
    <w:rsid w:val="447577E0"/>
    <w:rsid w:val="44763A3C"/>
    <w:rsid w:val="44783E69"/>
    <w:rsid w:val="44826636"/>
    <w:rsid w:val="44881162"/>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5A65"/>
    <w:rsid w:val="450B69FC"/>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601CE9"/>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E4959"/>
    <w:rsid w:val="45F46BD5"/>
    <w:rsid w:val="45F9658B"/>
    <w:rsid w:val="45FD64FB"/>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78B"/>
    <w:rsid w:val="49170910"/>
    <w:rsid w:val="49187B74"/>
    <w:rsid w:val="491B6B52"/>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B21FA"/>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3741FC"/>
    <w:rsid w:val="4C4166CC"/>
    <w:rsid w:val="4C437595"/>
    <w:rsid w:val="4C452FFF"/>
    <w:rsid w:val="4C4E4107"/>
    <w:rsid w:val="4C54613D"/>
    <w:rsid w:val="4C554981"/>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F43CF"/>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E02939"/>
    <w:rsid w:val="4EE80888"/>
    <w:rsid w:val="4EE96C24"/>
    <w:rsid w:val="4EF03416"/>
    <w:rsid w:val="4EF41BB3"/>
    <w:rsid w:val="4EF6190B"/>
    <w:rsid w:val="4EF640EE"/>
    <w:rsid w:val="4EF77C82"/>
    <w:rsid w:val="4EFA71CA"/>
    <w:rsid w:val="4EFB0C15"/>
    <w:rsid w:val="4EFE781C"/>
    <w:rsid w:val="4F0B6F62"/>
    <w:rsid w:val="4F0C6077"/>
    <w:rsid w:val="4F14132F"/>
    <w:rsid w:val="4F163FBA"/>
    <w:rsid w:val="4F195EE2"/>
    <w:rsid w:val="4F1B2E4E"/>
    <w:rsid w:val="4F2B5E4E"/>
    <w:rsid w:val="4F2C6EDA"/>
    <w:rsid w:val="4F327290"/>
    <w:rsid w:val="4F3A1522"/>
    <w:rsid w:val="4F3A454E"/>
    <w:rsid w:val="4F41097C"/>
    <w:rsid w:val="4F4137B3"/>
    <w:rsid w:val="4F482860"/>
    <w:rsid w:val="4F487299"/>
    <w:rsid w:val="4F4A1A20"/>
    <w:rsid w:val="4F4E2A7B"/>
    <w:rsid w:val="4F4E2D84"/>
    <w:rsid w:val="4F5176B3"/>
    <w:rsid w:val="4F5758A0"/>
    <w:rsid w:val="4F5F456C"/>
    <w:rsid w:val="4F5F7A29"/>
    <w:rsid w:val="4F600E8B"/>
    <w:rsid w:val="4F627C0A"/>
    <w:rsid w:val="4F645455"/>
    <w:rsid w:val="4F672CB5"/>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B7FA9"/>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1E0D1A"/>
    <w:rsid w:val="51236E17"/>
    <w:rsid w:val="513762B1"/>
    <w:rsid w:val="513D447B"/>
    <w:rsid w:val="513D4AA1"/>
    <w:rsid w:val="513D6B63"/>
    <w:rsid w:val="513E5DE2"/>
    <w:rsid w:val="513F3AED"/>
    <w:rsid w:val="513F74AF"/>
    <w:rsid w:val="51413DE5"/>
    <w:rsid w:val="5146189A"/>
    <w:rsid w:val="5146335C"/>
    <w:rsid w:val="514744A4"/>
    <w:rsid w:val="51562916"/>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C058E"/>
    <w:rsid w:val="527273C4"/>
    <w:rsid w:val="527564BE"/>
    <w:rsid w:val="52764A75"/>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D477B3"/>
    <w:rsid w:val="53D47B32"/>
    <w:rsid w:val="53D80CEA"/>
    <w:rsid w:val="53D86784"/>
    <w:rsid w:val="53E1263C"/>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B7B72"/>
    <w:rsid w:val="560C788B"/>
    <w:rsid w:val="560C7E69"/>
    <w:rsid w:val="56154A4C"/>
    <w:rsid w:val="561F640A"/>
    <w:rsid w:val="56215F3C"/>
    <w:rsid w:val="562E3095"/>
    <w:rsid w:val="563C5D74"/>
    <w:rsid w:val="563D2303"/>
    <w:rsid w:val="563D4E7F"/>
    <w:rsid w:val="56416CC2"/>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91E8B"/>
    <w:rsid w:val="57FC577E"/>
    <w:rsid w:val="57FD476D"/>
    <w:rsid w:val="58024C7F"/>
    <w:rsid w:val="580407F5"/>
    <w:rsid w:val="58064DC8"/>
    <w:rsid w:val="58087EE7"/>
    <w:rsid w:val="58095621"/>
    <w:rsid w:val="580B1B9C"/>
    <w:rsid w:val="580C58DD"/>
    <w:rsid w:val="580D7173"/>
    <w:rsid w:val="5810000C"/>
    <w:rsid w:val="58114939"/>
    <w:rsid w:val="58126F08"/>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802421"/>
    <w:rsid w:val="58875F73"/>
    <w:rsid w:val="588D1666"/>
    <w:rsid w:val="588F59D6"/>
    <w:rsid w:val="588F71C9"/>
    <w:rsid w:val="58914185"/>
    <w:rsid w:val="58920F1B"/>
    <w:rsid w:val="589B1D1D"/>
    <w:rsid w:val="58A8384A"/>
    <w:rsid w:val="58AB69E5"/>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51C42"/>
    <w:rsid w:val="5ACA67BF"/>
    <w:rsid w:val="5ACD4356"/>
    <w:rsid w:val="5ADB4308"/>
    <w:rsid w:val="5AE02F24"/>
    <w:rsid w:val="5AE84AF6"/>
    <w:rsid w:val="5AE868B2"/>
    <w:rsid w:val="5AEC44BD"/>
    <w:rsid w:val="5AEE30DA"/>
    <w:rsid w:val="5AF514F0"/>
    <w:rsid w:val="5AF6419D"/>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966FD"/>
    <w:rsid w:val="5B3B1A3B"/>
    <w:rsid w:val="5B3F5E85"/>
    <w:rsid w:val="5B461140"/>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E4CB9"/>
    <w:rsid w:val="5C9066F2"/>
    <w:rsid w:val="5C915347"/>
    <w:rsid w:val="5CA25840"/>
    <w:rsid w:val="5CB16240"/>
    <w:rsid w:val="5CB70F5B"/>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90A7F"/>
    <w:rsid w:val="5D2A75F3"/>
    <w:rsid w:val="5D2E4C8F"/>
    <w:rsid w:val="5D2F0156"/>
    <w:rsid w:val="5D300D00"/>
    <w:rsid w:val="5D327B7C"/>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E94211"/>
    <w:rsid w:val="5DF2566B"/>
    <w:rsid w:val="5DF26221"/>
    <w:rsid w:val="5DF27979"/>
    <w:rsid w:val="5DF34859"/>
    <w:rsid w:val="5DF61A82"/>
    <w:rsid w:val="5DF966B0"/>
    <w:rsid w:val="5DFF0CC5"/>
    <w:rsid w:val="5E017F3D"/>
    <w:rsid w:val="5E041722"/>
    <w:rsid w:val="5E067182"/>
    <w:rsid w:val="5E0E517D"/>
    <w:rsid w:val="5E124791"/>
    <w:rsid w:val="5E167528"/>
    <w:rsid w:val="5E1B4A6C"/>
    <w:rsid w:val="5E1C61EC"/>
    <w:rsid w:val="5E2324C4"/>
    <w:rsid w:val="5E242814"/>
    <w:rsid w:val="5E2720CA"/>
    <w:rsid w:val="5E2C695E"/>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82055"/>
    <w:rsid w:val="5EC309DA"/>
    <w:rsid w:val="5EC56D7E"/>
    <w:rsid w:val="5ECB3F99"/>
    <w:rsid w:val="5ECD3498"/>
    <w:rsid w:val="5ECF4FD8"/>
    <w:rsid w:val="5ED70F57"/>
    <w:rsid w:val="5EDD6588"/>
    <w:rsid w:val="5EDD7847"/>
    <w:rsid w:val="5EE35981"/>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56D9D"/>
    <w:rsid w:val="5F28125E"/>
    <w:rsid w:val="5F2C6056"/>
    <w:rsid w:val="5F314B60"/>
    <w:rsid w:val="5F3244CE"/>
    <w:rsid w:val="5F365AC4"/>
    <w:rsid w:val="5F3809A2"/>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31DEC"/>
    <w:rsid w:val="5FD91C36"/>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5AF"/>
    <w:rsid w:val="6326699A"/>
    <w:rsid w:val="63274BB1"/>
    <w:rsid w:val="632C1E99"/>
    <w:rsid w:val="63386BB9"/>
    <w:rsid w:val="633B1E29"/>
    <w:rsid w:val="633B3D0E"/>
    <w:rsid w:val="634A5D38"/>
    <w:rsid w:val="634C65DC"/>
    <w:rsid w:val="63501A16"/>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656FB"/>
    <w:rsid w:val="64F65983"/>
    <w:rsid w:val="64F8441D"/>
    <w:rsid w:val="64F92204"/>
    <w:rsid w:val="65004915"/>
    <w:rsid w:val="650771CA"/>
    <w:rsid w:val="65091A81"/>
    <w:rsid w:val="650C6EF7"/>
    <w:rsid w:val="650F000D"/>
    <w:rsid w:val="650F6939"/>
    <w:rsid w:val="6512513F"/>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012A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807753D"/>
    <w:rsid w:val="680A6DD6"/>
    <w:rsid w:val="6813706E"/>
    <w:rsid w:val="68206C4A"/>
    <w:rsid w:val="68207AE1"/>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407024"/>
    <w:rsid w:val="6A40721D"/>
    <w:rsid w:val="6A43139C"/>
    <w:rsid w:val="6A483FC6"/>
    <w:rsid w:val="6A4A77B4"/>
    <w:rsid w:val="6A4F4ED1"/>
    <w:rsid w:val="6A50190E"/>
    <w:rsid w:val="6A5041C8"/>
    <w:rsid w:val="6A5621AF"/>
    <w:rsid w:val="6A5C7A7C"/>
    <w:rsid w:val="6A5F1C7D"/>
    <w:rsid w:val="6A5F7EA4"/>
    <w:rsid w:val="6A6A5B24"/>
    <w:rsid w:val="6A722D01"/>
    <w:rsid w:val="6A7E3F26"/>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A21D6E"/>
    <w:rsid w:val="6BA2350F"/>
    <w:rsid w:val="6BA31178"/>
    <w:rsid w:val="6BB2108D"/>
    <w:rsid w:val="6BBA4ECD"/>
    <w:rsid w:val="6BC53A3C"/>
    <w:rsid w:val="6BC920F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4767D"/>
    <w:rsid w:val="6C1E565E"/>
    <w:rsid w:val="6C2415A9"/>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24E6C"/>
    <w:rsid w:val="6CB41408"/>
    <w:rsid w:val="6CB46B8A"/>
    <w:rsid w:val="6CB64445"/>
    <w:rsid w:val="6CBB71BB"/>
    <w:rsid w:val="6CBC65F7"/>
    <w:rsid w:val="6CBE322E"/>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0F5007"/>
    <w:rsid w:val="6D116339"/>
    <w:rsid w:val="6D1C0D1C"/>
    <w:rsid w:val="6D20535C"/>
    <w:rsid w:val="6D23170F"/>
    <w:rsid w:val="6D253611"/>
    <w:rsid w:val="6D330BE7"/>
    <w:rsid w:val="6D3326A9"/>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65687"/>
    <w:rsid w:val="6E903A92"/>
    <w:rsid w:val="6E912F38"/>
    <w:rsid w:val="6E921DA1"/>
    <w:rsid w:val="6E940B04"/>
    <w:rsid w:val="6E965300"/>
    <w:rsid w:val="6EA215BB"/>
    <w:rsid w:val="6EA46912"/>
    <w:rsid w:val="6EA51B9F"/>
    <w:rsid w:val="6EA63752"/>
    <w:rsid w:val="6EA64819"/>
    <w:rsid w:val="6EA84C2B"/>
    <w:rsid w:val="6EAA489F"/>
    <w:rsid w:val="6EAB3BE1"/>
    <w:rsid w:val="6EAB5A16"/>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221DD"/>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97F4B"/>
    <w:rsid w:val="6F8C5AA5"/>
    <w:rsid w:val="6F8F537D"/>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8F1D57"/>
    <w:rsid w:val="7590720B"/>
    <w:rsid w:val="759219B1"/>
    <w:rsid w:val="7596036A"/>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60B37"/>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93410"/>
    <w:rsid w:val="772A1315"/>
    <w:rsid w:val="773037BC"/>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1F4946"/>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A136D"/>
    <w:rsid w:val="79FD3BCB"/>
    <w:rsid w:val="7A040D63"/>
    <w:rsid w:val="7A05786A"/>
    <w:rsid w:val="7A0807AB"/>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D2566"/>
    <w:rsid w:val="7BFD7D0D"/>
    <w:rsid w:val="7BFF3261"/>
    <w:rsid w:val="7C013AFE"/>
    <w:rsid w:val="7C0A5CE9"/>
    <w:rsid w:val="7C142374"/>
    <w:rsid w:val="7C1B24E3"/>
    <w:rsid w:val="7C1F2759"/>
    <w:rsid w:val="7C203471"/>
    <w:rsid w:val="7C214E9E"/>
    <w:rsid w:val="7C222FFB"/>
    <w:rsid w:val="7C2B3FDE"/>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63D3A"/>
    <w:rsid w:val="7E2D53BF"/>
    <w:rsid w:val="7E2F4A5F"/>
    <w:rsid w:val="7E327A15"/>
    <w:rsid w:val="7E3B51FA"/>
    <w:rsid w:val="7E3C4164"/>
    <w:rsid w:val="7E3D2B8F"/>
    <w:rsid w:val="7E403F72"/>
    <w:rsid w:val="7E42756E"/>
    <w:rsid w:val="7E4854DF"/>
    <w:rsid w:val="7E4944ED"/>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F2694"/>
    <w:rsid w:val="7F1535FF"/>
    <w:rsid w:val="7F193139"/>
    <w:rsid w:val="7F283C38"/>
    <w:rsid w:val="7F2E4452"/>
    <w:rsid w:val="7F3149AB"/>
    <w:rsid w:val="7F3277A1"/>
    <w:rsid w:val="7F3B3101"/>
    <w:rsid w:val="7F3B4E97"/>
    <w:rsid w:val="7F3D45CB"/>
    <w:rsid w:val="7F3D5899"/>
    <w:rsid w:val="7F405053"/>
    <w:rsid w:val="7F425F57"/>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8322D3"/>
    <w:rsid w:val="7F84443F"/>
    <w:rsid w:val="7F882E57"/>
    <w:rsid w:val="7F8C458B"/>
    <w:rsid w:val="7F92041B"/>
    <w:rsid w:val="7F994C96"/>
    <w:rsid w:val="7F9D1EAE"/>
    <w:rsid w:val="7F9D4537"/>
    <w:rsid w:val="7FA0015B"/>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2021-10-22T08:26:39Z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